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B96C5E">
      <w:pPr>
        <w:snapToGrid w:val="0"/>
        <w:spacing w:before="156" w:beforeLines="50"/>
        <w:jc w:val="center"/>
        <w:rPr>
          <w:rFonts w:ascii="宋体" w:hAnsi="宋体"/>
          <w:b/>
          <w:sz w:val="84"/>
          <w:szCs w:val="84"/>
        </w:rPr>
      </w:pPr>
      <w:bookmarkStart w:id="0" w:name="_Hlk21427976"/>
      <w:r>
        <w:rPr>
          <w:rFonts w:hint="eastAsia" w:ascii="宋体" w:hAnsi="宋体"/>
          <w:b/>
          <w:bCs/>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386A9074">
      <w:pPr>
        <w:snapToGrid w:val="0"/>
        <w:spacing w:before="156" w:beforeLines="50"/>
        <w:rPr>
          <w:rFonts w:ascii="宋体" w:hAnsi="宋体"/>
          <w:b/>
          <w:sz w:val="84"/>
          <w:szCs w:val="84"/>
        </w:rPr>
      </w:pPr>
    </w:p>
    <w:p w14:paraId="46BC2772">
      <w:pPr>
        <w:snapToGrid w:val="0"/>
        <w:spacing w:before="156" w:beforeLines="50"/>
        <w:jc w:val="center"/>
        <w:rPr>
          <w:rFonts w:ascii="仿宋_GB2312" w:hAnsi="仿宋_GB2312"/>
          <w:b/>
          <w:bCs/>
          <w:sz w:val="84"/>
          <w:szCs w:val="84"/>
        </w:rPr>
      </w:pPr>
      <w:r>
        <w:rPr>
          <w:rFonts w:hint="eastAsia" w:ascii="宋体" w:hAnsi="宋体"/>
          <w:b/>
          <w:sz w:val="84"/>
          <w:szCs w:val="84"/>
        </w:rPr>
        <w:t>竞价文件</w:t>
      </w:r>
    </w:p>
    <w:p w14:paraId="36F080FF">
      <w:pPr>
        <w:spacing w:line="360" w:lineRule="auto"/>
        <w:jc w:val="center"/>
        <w:rPr>
          <w:rFonts w:ascii="宋体" w:hAnsi="宋体"/>
          <w:b/>
          <w:bCs/>
          <w:sz w:val="24"/>
        </w:rPr>
      </w:pPr>
    </w:p>
    <w:p w14:paraId="253AB2AF">
      <w:pPr>
        <w:spacing w:line="360" w:lineRule="auto"/>
        <w:rPr>
          <w:rFonts w:ascii="华文中宋" w:hAnsi="华文中宋" w:eastAsia="华文中宋"/>
          <w:sz w:val="30"/>
          <w:szCs w:val="30"/>
        </w:rPr>
      </w:pPr>
    </w:p>
    <w:p w14:paraId="23C484D4">
      <w:pPr>
        <w:spacing w:line="360" w:lineRule="auto"/>
        <w:rPr>
          <w:rFonts w:ascii="华文中宋" w:hAnsi="华文中宋" w:eastAsia="华文中宋"/>
          <w:sz w:val="30"/>
          <w:szCs w:val="30"/>
        </w:rPr>
      </w:pPr>
    </w:p>
    <w:p w14:paraId="4A79EC17">
      <w:pPr>
        <w:spacing w:line="360" w:lineRule="auto"/>
        <w:rPr>
          <w:rFonts w:ascii="华文中宋" w:hAnsi="华文中宋" w:eastAsia="华文中宋"/>
          <w:sz w:val="30"/>
          <w:szCs w:val="30"/>
        </w:rPr>
      </w:pPr>
    </w:p>
    <w:p w14:paraId="2FB02971">
      <w:pPr>
        <w:spacing w:line="360" w:lineRule="auto"/>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竞价</w:t>
      </w:r>
    </w:p>
    <w:p w14:paraId="5C54782B">
      <w:pPr>
        <w:spacing w:line="360" w:lineRule="auto"/>
        <w:jc w:val="left"/>
        <w:rPr>
          <w:rFonts w:hint="eastAsia" w:ascii="仿宋_GB2312" w:hAnsi="仿宋_GB2312" w:eastAsia="宋体"/>
          <w:b/>
          <w:bCs/>
          <w:sz w:val="28"/>
          <w:szCs w:val="32"/>
          <w:lang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lang w:eastAsia="zh-CN"/>
        </w:rPr>
        <w:t>广东省监狱中心医院2025年医用气体采购项目(重招)</w:t>
      </w:r>
    </w:p>
    <w:p w14:paraId="5F9338CD">
      <w:pPr>
        <w:spacing w:line="360" w:lineRule="auto"/>
        <w:jc w:val="left"/>
        <w:rPr>
          <w:rFonts w:hint="eastAsia" w:ascii="仿宋_GB2312" w:hAnsi="仿宋_GB2312" w:eastAsia="宋体"/>
          <w:b/>
          <w:bCs/>
          <w:sz w:val="28"/>
          <w:szCs w:val="32"/>
          <w:lang w:eastAsia="zh-CN"/>
        </w:rPr>
      </w:pPr>
      <w:r>
        <w:rPr>
          <w:rFonts w:hint="eastAsia" w:ascii="仿宋_GB2312" w:hAnsi="仿宋_GB2312"/>
          <w:b/>
          <w:bCs/>
          <w:sz w:val="28"/>
          <w:szCs w:val="32"/>
        </w:rPr>
        <w:t>项目编号：</w:t>
      </w:r>
      <w:r>
        <w:rPr>
          <w:rFonts w:hint="eastAsia" w:ascii="仿宋_GB2312" w:hAnsi="仿宋_GB2312"/>
          <w:b/>
          <w:bCs/>
          <w:sz w:val="28"/>
          <w:szCs w:val="32"/>
          <w:lang w:eastAsia="zh-CN"/>
        </w:rPr>
        <w:t>GZGK25P038A0038J-1</w:t>
      </w:r>
    </w:p>
    <w:p w14:paraId="049F830E">
      <w:pPr>
        <w:autoSpaceDE w:val="0"/>
        <w:autoSpaceDN w:val="0"/>
        <w:adjustRightInd w:val="0"/>
        <w:snapToGrid w:val="0"/>
        <w:spacing w:before="156" w:beforeLines="50" w:after="156" w:afterLines="50" w:line="360" w:lineRule="auto"/>
        <w:jc w:val="both"/>
        <w:rPr>
          <w:rFonts w:ascii="黑体" w:hAnsi="华文中宋" w:eastAsia="黑体" w:cs="华文中宋"/>
          <w:kern w:val="0"/>
          <w:sz w:val="30"/>
          <w:szCs w:val="30"/>
        </w:rPr>
      </w:pPr>
    </w:p>
    <w:p w14:paraId="4D5EF8F1">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bookmarkEnd w:id="0"/>
    <w:p w14:paraId="130A077C">
      <w:pPr>
        <w:spacing w:line="360" w:lineRule="auto"/>
        <w:ind w:left="420"/>
        <w:jc w:val="center"/>
        <w:rPr>
          <w:rFonts w:ascii="宋体" w:hAnsi="宋体"/>
          <w:b/>
          <w:bCs/>
          <w:sz w:val="32"/>
          <w:szCs w:val="32"/>
        </w:rPr>
      </w:pPr>
      <w:r>
        <w:rPr>
          <w:rFonts w:hint="eastAsia" w:ascii="宋体" w:hAnsi="宋体"/>
          <w:b/>
          <w:bCs/>
          <w:sz w:val="32"/>
          <w:szCs w:val="32"/>
        </w:rPr>
        <w:t>广州市国科招标代理有限公司</w:t>
      </w:r>
    </w:p>
    <w:p w14:paraId="00250AF4">
      <w:pPr>
        <w:pStyle w:val="12"/>
        <w:spacing w:line="360" w:lineRule="auto"/>
        <w:ind w:left="99" w:leftChars="47"/>
        <w:jc w:val="center"/>
        <w:rPr>
          <w:color w:val="auto"/>
          <w:szCs w:val="36"/>
        </w:rPr>
      </w:pPr>
      <w:r>
        <w:rPr>
          <w:rFonts w:hint="eastAsia"/>
          <w:color w:val="auto"/>
          <w:sz w:val="32"/>
          <w:szCs w:val="32"/>
        </w:rPr>
        <w:t>2025年</w:t>
      </w:r>
      <w:r>
        <w:rPr>
          <w:rFonts w:hint="eastAsia"/>
          <w:color w:val="auto"/>
          <w:sz w:val="32"/>
          <w:szCs w:val="32"/>
          <w:lang w:val="en-US" w:eastAsia="zh-CN"/>
        </w:rPr>
        <w:t>2</w:t>
      </w:r>
      <w:r>
        <w:rPr>
          <w:rFonts w:hint="eastAsia"/>
          <w:color w:val="auto"/>
          <w:sz w:val="32"/>
          <w:szCs w:val="32"/>
        </w:rPr>
        <w:t>月</w:t>
      </w:r>
    </w:p>
    <w:p w14:paraId="3C6634FD">
      <w:pPr>
        <w:snapToGrid w:val="0"/>
        <w:rPr>
          <w:rFonts w:ascii="Calibri" w:hAnsi="Calibri"/>
          <w:b/>
          <w:bCs/>
          <w:sz w:val="24"/>
        </w:rPr>
      </w:pPr>
    </w:p>
    <w:p w14:paraId="027AC229">
      <w:pPr>
        <w:snapToGrid w:val="0"/>
        <w:jc w:val="center"/>
        <w:rPr>
          <w:rFonts w:ascii="宋体" w:hAnsi="宋体" w:cs="宋体"/>
          <w:sz w:val="44"/>
          <w:szCs w:val="44"/>
        </w:rPr>
      </w:pPr>
      <w:r>
        <w:rPr>
          <w:rFonts w:hint="eastAsia" w:ascii="宋体" w:hAnsi="宋体" w:cs="宋体"/>
          <w:sz w:val="44"/>
          <w:szCs w:val="44"/>
        </w:rPr>
        <w:t>目 录</w:t>
      </w:r>
    </w:p>
    <w:p w14:paraId="5BBF6148">
      <w:pPr>
        <w:snapToGrid w:val="0"/>
        <w:jc w:val="center"/>
        <w:rPr>
          <w:rFonts w:ascii="宋体" w:hAnsi="宋体" w:cs="宋体"/>
          <w:sz w:val="44"/>
          <w:szCs w:val="44"/>
        </w:rPr>
      </w:pPr>
    </w:p>
    <w:p w14:paraId="3B7543F9">
      <w:pPr>
        <w:pStyle w:val="16"/>
        <w:tabs>
          <w:tab w:val="right" w:leader="dot" w:pos="8690"/>
        </w:tabs>
        <w:rPr>
          <w:rFonts w:ascii="宋体" w:hAnsi="宋体" w:cs="宋体"/>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"_Toc220" </w:instrText>
      </w:r>
      <w:r>
        <w:fldChar w:fldCharType="separate"/>
      </w:r>
      <w:r>
        <w:rPr>
          <w:rFonts w:hint="eastAsia" w:ascii="宋体" w:hAnsi="宋体" w:cs="宋体"/>
          <w:sz w:val="32"/>
          <w:szCs w:val="32"/>
        </w:rPr>
        <w:t>第一章 竞价公告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_Toc220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5F9F5235">
      <w:pPr>
        <w:pStyle w:val="16"/>
        <w:tabs>
          <w:tab w:val="right" w:leader="dot" w:pos="8690"/>
        </w:tabs>
        <w:rPr>
          <w:rFonts w:ascii="宋体" w:hAnsi="宋体" w:cs="宋体"/>
          <w:sz w:val="32"/>
          <w:szCs w:val="32"/>
        </w:rPr>
      </w:pPr>
      <w:r>
        <w:fldChar w:fldCharType="begin"/>
      </w:r>
      <w:r>
        <w:instrText xml:space="preserve"> HYPERLINK \l "_Toc27889" </w:instrText>
      </w:r>
      <w:r>
        <w:fldChar w:fldCharType="separate"/>
      </w:r>
      <w:r>
        <w:rPr>
          <w:rFonts w:hint="eastAsia" w:ascii="宋体" w:hAnsi="宋体" w:cs="宋体"/>
          <w:sz w:val="32"/>
          <w:szCs w:val="32"/>
        </w:rPr>
        <w:t>第二章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_Toc27889 \h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fldChar w:fldCharType="end"/>
      </w:r>
    </w:p>
    <w:p w14:paraId="222D0A9D">
      <w:pPr>
        <w:pStyle w:val="16"/>
        <w:tabs>
          <w:tab w:val="right" w:leader="dot" w:pos="8690"/>
        </w:tabs>
        <w:rPr>
          <w:rFonts w:ascii="宋体" w:hAnsi="宋体" w:cs="宋体"/>
          <w:sz w:val="32"/>
          <w:szCs w:val="32"/>
        </w:rPr>
      </w:pPr>
      <w:r>
        <w:fldChar w:fldCharType="begin"/>
      </w:r>
      <w:r>
        <w:instrText xml:space="preserve"> HYPERLINK \l "_Toc9145" </w:instrText>
      </w:r>
      <w:r>
        <w:fldChar w:fldCharType="separate"/>
      </w:r>
      <w:r>
        <w:rPr>
          <w:rFonts w:hint="eastAsia" w:ascii="宋体" w:hAnsi="宋体" w:cs="宋体"/>
          <w:sz w:val="32"/>
          <w:szCs w:val="32"/>
        </w:rPr>
        <w:t>第三章 竞价须知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_Toc9145 \h </w:instrText>
      </w:r>
      <w:r>
        <w:rPr>
          <w:rFonts w:hint="eastAsia" w:ascii="宋体" w:hAnsi="宋体" w:cs="宋体"/>
          <w:sz w:val="32"/>
          <w:szCs w:val="32"/>
        </w:rPr>
        <w:fldChar w:fldCharType="separate"/>
      </w:r>
      <w:r>
        <w:rPr>
          <w:rFonts w:hint="eastAsia" w:ascii="宋体" w:hAnsi="宋体" w:cs="宋体"/>
          <w:sz w:val="32"/>
          <w:szCs w:val="32"/>
        </w:rPr>
        <w:t>17</w:t>
      </w:r>
      <w:r>
        <w:rPr>
          <w:rFonts w:hint="eastAsia" w:ascii="宋体" w:hAnsi="宋体" w:cs="宋体"/>
          <w:sz w:val="32"/>
          <w:szCs w:val="32"/>
        </w:rPr>
        <w:fldChar w:fldCharType="end"/>
      </w:r>
      <w:r>
        <w:rPr>
          <w:rFonts w:hint="eastAsia" w:ascii="宋体" w:hAnsi="宋体" w:cs="宋体"/>
          <w:sz w:val="32"/>
          <w:szCs w:val="32"/>
        </w:rPr>
        <w:fldChar w:fldCharType="end"/>
      </w:r>
    </w:p>
    <w:p w14:paraId="5E11215B">
      <w:pPr>
        <w:pStyle w:val="16"/>
        <w:tabs>
          <w:tab w:val="right" w:leader="dot" w:pos="8690"/>
        </w:tabs>
        <w:rPr>
          <w:rFonts w:ascii="宋体" w:hAnsi="宋体" w:cs="宋体"/>
          <w:sz w:val="32"/>
          <w:szCs w:val="32"/>
        </w:rPr>
      </w:pPr>
      <w:r>
        <w:fldChar w:fldCharType="begin"/>
      </w:r>
      <w:r>
        <w:instrText xml:space="preserve"> HYPERLINK \l "_Toc20538" </w:instrText>
      </w:r>
      <w:r>
        <w:fldChar w:fldCharType="separate"/>
      </w:r>
      <w:r>
        <w:rPr>
          <w:rFonts w:hint="eastAsia" w:ascii="宋体" w:hAnsi="宋体" w:cs="宋体"/>
          <w:kern w:val="0"/>
          <w:sz w:val="32"/>
          <w:szCs w:val="32"/>
        </w:rPr>
        <w:t>第四章 合同条款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_Toc20538 \h </w:instrText>
      </w:r>
      <w:r>
        <w:rPr>
          <w:rFonts w:hint="eastAsia" w:ascii="宋体" w:hAnsi="宋体" w:cs="宋体"/>
          <w:sz w:val="32"/>
          <w:szCs w:val="32"/>
        </w:rPr>
        <w:fldChar w:fldCharType="separate"/>
      </w:r>
      <w:r>
        <w:rPr>
          <w:rFonts w:hint="eastAsia" w:ascii="宋体" w:hAnsi="宋体" w:cs="宋体"/>
          <w:sz w:val="32"/>
          <w:szCs w:val="32"/>
        </w:rPr>
        <w:t>22</w:t>
      </w:r>
      <w:r>
        <w:rPr>
          <w:rFonts w:hint="eastAsia" w:ascii="宋体" w:hAnsi="宋体" w:cs="宋体"/>
          <w:sz w:val="32"/>
          <w:szCs w:val="32"/>
        </w:rPr>
        <w:fldChar w:fldCharType="end"/>
      </w:r>
      <w:r>
        <w:rPr>
          <w:rFonts w:hint="eastAsia" w:ascii="宋体" w:hAnsi="宋体" w:cs="宋体"/>
          <w:sz w:val="32"/>
          <w:szCs w:val="32"/>
        </w:rPr>
        <w:fldChar w:fldCharType="end"/>
      </w:r>
    </w:p>
    <w:p w14:paraId="4F033139">
      <w:pPr>
        <w:pStyle w:val="16"/>
        <w:tabs>
          <w:tab w:val="right" w:leader="dot" w:pos="8690"/>
        </w:tabs>
        <w:rPr>
          <w:rFonts w:ascii="宋体" w:hAnsi="宋体" w:cs="宋体"/>
          <w:sz w:val="32"/>
          <w:szCs w:val="32"/>
        </w:rPr>
      </w:pPr>
      <w:r>
        <w:fldChar w:fldCharType="begin"/>
      </w:r>
      <w:r>
        <w:instrText xml:space="preserve"> HYPERLINK \l "_Toc21084" </w:instrText>
      </w:r>
      <w:r>
        <w:fldChar w:fldCharType="separate"/>
      </w:r>
      <w:r>
        <w:rPr>
          <w:rFonts w:hint="eastAsia" w:ascii="宋体" w:hAnsi="宋体" w:cs="宋体"/>
          <w:sz w:val="32"/>
          <w:szCs w:val="32"/>
        </w:rPr>
        <w:t>第五章 报价文件格式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_Toc21084 \h </w:instrText>
      </w:r>
      <w:r>
        <w:rPr>
          <w:rFonts w:hint="eastAsia" w:ascii="宋体" w:hAnsi="宋体" w:cs="宋体"/>
          <w:sz w:val="32"/>
          <w:szCs w:val="32"/>
        </w:rPr>
        <w:fldChar w:fldCharType="separate"/>
      </w:r>
      <w:r>
        <w:rPr>
          <w:rFonts w:hint="eastAsia" w:ascii="宋体" w:hAnsi="宋体" w:cs="宋体"/>
          <w:sz w:val="32"/>
          <w:szCs w:val="32"/>
        </w:rPr>
        <w:t>27</w:t>
      </w:r>
      <w:r>
        <w:rPr>
          <w:rFonts w:hint="eastAsia" w:ascii="宋体" w:hAnsi="宋体" w:cs="宋体"/>
          <w:sz w:val="32"/>
          <w:szCs w:val="32"/>
        </w:rPr>
        <w:fldChar w:fldCharType="end"/>
      </w:r>
      <w:r>
        <w:rPr>
          <w:rFonts w:hint="eastAsia" w:ascii="宋体" w:hAnsi="宋体" w:cs="宋体"/>
          <w:sz w:val="32"/>
          <w:szCs w:val="32"/>
        </w:rPr>
        <w:fldChar w:fldCharType="end"/>
      </w:r>
    </w:p>
    <w:p w14:paraId="0DC28072">
      <w:pPr>
        <w:autoSpaceDE w:val="0"/>
        <w:autoSpaceDN w:val="0"/>
        <w:adjustRightInd w:val="0"/>
        <w:jc w:val="center"/>
        <w:outlineLvl w:val="0"/>
        <w:rPr>
          <w:rFonts w:ascii="Cambria" w:hAnsi="Cambria"/>
          <w:b/>
          <w:bCs/>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sz w:val="32"/>
          <w:szCs w:val="32"/>
        </w:rPr>
        <w:fldChar w:fldCharType="end"/>
      </w:r>
    </w:p>
    <w:p w14:paraId="7A239C33">
      <w:pPr>
        <w:autoSpaceDE w:val="0"/>
        <w:autoSpaceDN w:val="0"/>
        <w:adjustRightInd w:val="0"/>
        <w:jc w:val="center"/>
        <w:rPr>
          <w:rFonts w:ascii="Cambria" w:hAnsi="Cambria"/>
          <w:b/>
          <w:bCs/>
          <w:sz w:val="32"/>
          <w:szCs w:val="32"/>
        </w:rPr>
      </w:pPr>
    </w:p>
    <w:p w14:paraId="5C502D30">
      <w:pPr>
        <w:autoSpaceDE w:val="0"/>
        <w:autoSpaceDN w:val="0"/>
        <w:adjustRightInd w:val="0"/>
        <w:jc w:val="center"/>
        <w:rPr>
          <w:rFonts w:ascii="Cambria" w:hAnsi="Cambria"/>
          <w:b/>
          <w:bCs/>
          <w:sz w:val="32"/>
          <w:szCs w:val="32"/>
        </w:rPr>
      </w:pPr>
    </w:p>
    <w:p w14:paraId="4BF0C7ED">
      <w:pPr>
        <w:autoSpaceDE w:val="0"/>
        <w:autoSpaceDN w:val="0"/>
        <w:adjustRightInd w:val="0"/>
        <w:jc w:val="center"/>
        <w:rPr>
          <w:rFonts w:ascii="Cambria" w:hAnsi="Cambria"/>
          <w:b/>
          <w:bCs/>
          <w:sz w:val="32"/>
          <w:szCs w:val="32"/>
        </w:rPr>
      </w:pPr>
    </w:p>
    <w:p w14:paraId="4168B70C">
      <w:pPr>
        <w:autoSpaceDE w:val="0"/>
        <w:autoSpaceDN w:val="0"/>
        <w:adjustRightInd w:val="0"/>
        <w:jc w:val="center"/>
        <w:rPr>
          <w:rFonts w:ascii="Cambria" w:hAnsi="Cambria"/>
          <w:b/>
          <w:bCs/>
          <w:sz w:val="32"/>
          <w:szCs w:val="32"/>
        </w:rPr>
      </w:pPr>
    </w:p>
    <w:p w14:paraId="47E97F2C">
      <w:pPr>
        <w:autoSpaceDE w:val="0"/>
        <w:autoSpaceDN w:val="0"/>
        <w:adjustRightInd w:val="0"/>
        <w:jc w:val="center"/>
        <w:rPr>
          <w:rFonts w:ascii="Cambria" w:hAnsi="Cambria"/>
          <w:b/>
          <w:bCs/>
          <w:sz w:val="32"/>
          <w:szCs w:val="32"/>
        </w:rPr>
      </w:pPr>
    </w:p>
    <w:p w14:paraId="159249E1">
      <w:pPr>
        <w:autoSpaceDE w:val="0"/>
        <w:autoSpaceDN w:val="0"/>
        <w:adjustRightInd w:val="0"/>
        <w:jc w:val="center"/>
        <w:rPr>
          <w:rFonts w:ascii="Cambria" w:hAnsi="Cambria"/>
          <w:b/>
          <w:bCs/>
          <w:sz w:val="32"/>
          <w:szCs w:val="32"/>
        </w:rPr>
      </w:pPr>
    </w:p>
    <w:p w14:paraId="60322619">
      <w:pPr>
        <w:autoSpaceDE w:val="0"/>
        <w:autoSpaceDN w:val="0"/>
        <w:adjustRightInd w:val="0"/>
        <w:jc w:val="center"/>
        <w:rPr>
          <w:rFonts w:ascii="Cambria" w:hAnsi="Cambria"/>
          <w:b/>
          <w:bCs/>
          <w:sz w:val="32"/>
          <w:szCs w:val="32"/>
        </w:rPr>
      </w:pPr>
    </w:p>
    <w:p w14:paraId="5EBF2589">
      <w:pPr>
        <w:pStyle w:val="2"/>
        <w:jc w:val="center"/>
      </w:pPr>
      <w:bookmarkStart w:id="1" w:name="_Toc220"/>
      <w:r>
        <w:rPr>
          <w:rFonts w:hint="eastAsia"/>
        </w:rPr>
        <w:t>第一章 竞价公告</w:t>
      </w:r>
      <w:bookmarkEnd w:id="1"/>
    </w:p>
    <w:p w14:paraId="56427E31">
      <w:pPr>
        <w:autoSpaceDE w:val="0"/>
        <w:autoSpaceDN w:val="0"/>
        <w:adjustRightInd w:val="0"/>
        <w:jc w:val="center"/>
        <w:rPr>
          <w:rFonts w:ascii="Cambria" w:hAnsi="Cambria"/>
          <w:b/>
          <w:bCs/>
          <w:sz w:val="32"/>
          <w:szCs w:val="32"/>
        </w:rPr>
      </w:pPr>
    </w:p>
    <w:p w14:paraId="6FC262B1">
      <w:pPr>
        <w:autoSpaceDE w:val="0"/>
        <w:autoSpaceDN w:val="0"/>
        <w:adjustRightInd w:val="0"/>
        <w:jc w:val="center"/>
        <w:rPr>
          <w:rFonts w:ascii="Cambria" w:hAnsi="Cambria"/>
          <w:b/>
          <w:bCs/>
          <w:sz w:val="32"/>
          <w:szCs w:val="32"/>
        </w:rPr>
      </w:pPr>
    </w:p>
    <w:p w14:paraId="17981F01">
      <w:pPr>
        <w:autoSpaceDE w:val="0"/>
        <w:autoSpaceDN w:val="0"/>
        <w:adjustRightInd w:val="0"/>
        <w:jc w:val="center"/>
        <w:rPr>
          <w:rFonts w:ascii="Cambria" w:hAnsi="Cambria"/>
          <w:b/>
          <w:bCs/>
          <w:sz w:val="32"/>
          <w:szCs w:val="32"/>
        </w:rPr>
      </w:pPr>
    </w:p>
    <w:p w14:paraId="0956CBD5">
      <w:pPr>
        <w:autoSpaceDE w:val="0"/>
        <w:autoSpaceDN w:val="0"/>
        <w:adjustRightInd w:val="0"/>
        <w:jc w:val="center"/>
        <w:rPr>
          <w:rFonts w:ascii="Cambria" w:hAnsi="Cambria"/>
          <w:b/>
          <w:bCs/>
          <w:sz w:val="32"/>
          <w:szCs w:val="32"/>
        </w:rPr>
      </w:pPr>
    </w:p>
    <w:p w14:paraId="42027C61">
      <w:pPr>
        <w:autoSpaceDE w:val="0"/>
        <w:autoSpaceDN w:val="0"/>
        <w:adjustRightInd w:val="0"/>
        <w:jc w:val="center"/>
        <w:rPr>
          <w:rFonts w:ascii="Cambria" w:hAnsi="Cambria"/>
          <w:b/>
          <w:bCs/>
          <w:sz w:val="32"/>
          <w:szCs w:val="32"/>
        </w:rPr>
      </w:pPr>
    </w:p>
    <w:p w14:paraId="6C8C0F31">
      <w:pPr>
        <w:autoSpaceDE w:val="0"/>
        <w:autoSpaceDN w:val="0"/>
        <w:adjustRightInd w:val="0"/>
        <w:jc w:val="center"/>
        <w:rPr>
          <w:rFonts w:ascii="Cambria" w:hAnsi="Cambria"/>
          <w:b/>
          <w:bCs/>
          <w:sz w:val="32"/>
          <w:szCs w:val="32"/>
        </w:rPr>
      </w:pPr>
    </w:p>
    <w:p w14:paraId="7BCB2153">
      <w:pPr>
        <w:autoSpaceDE w:val="0"/>
        <w:autoSpaceDN w:val="0"/>
        <w:adjustRightInd w:val="0"/>
        <w:jc w:val="center"/>
        <w:rPr>
          <w:rFonts w:ascii="Cambria" w:hAnsi="Cambria"/>
          <w:b/>
          <w:bCs/>
          <w:sz w:val="32"/>
          <w:szCs w:val="32"/>
        </w:rPr>
      </w:pPr>
    </w:p>
    <w:p w14:paraId="2CF1F05E">
      <w:pPr>
        <w:autoSpaceDE w:val="0"/>
        <w:autoSpaceDN w:val="0"/>
        <w:adjustRightInd w:val="0"/>
        <w:jc w:val="center"/>
        <w:rPr>
          <w:rFonts w:ascii="Cambria" w:hAnsi="Cambria"/>
          <w:b/>
          <w:bCs/>
          <w:sz w:val="32"/>
          <w:szCs w:val="32"/>
        </w:rPr>
      </w:pPr>
    </w:p>
    <w:p w14:paraId="6C42A186">
      <w:pPr>
        <w:autoSpaceDE w:val="0"/>
        <w:autoSpaceDN w:val="0"/>
        <w:adjustRightInd w:val="0"/>
        <w:jc w:val="center"/>
        <w:rPr>
          <w:rFonts w:ascii="Cambria" w:hAnsi="Cambria"/>
          <w:b/>
          <w:bCs/>
          <w:sz w:val="32"/>
          <w:szCs w:val="32"/>
        </w:rPr>
      </w:pPr>
    </w:p>
    <w:p w14:paraId="460274D9">
      <w:pPr>
        <w:autoSpaceDE w:val="0"/>
        <w:autoSpaceDN w:val="0"/>
        <w:adjustRightInd w:val="0"/>
        <w:jc w:val="center"/>
        <w:rPr>
          <w:rFonts w:ascii="Cambria" w:hAnsi="Cambria"/>
          <w:b/>
          <w:bCs/>
          <w:sz w:val="32"/>
          <w:szCs w:val="32"/>
        </w:rPr>
      </w:pPr>
    </w:p>
    <w:p w14:paraId="4D0E2189">
      <w:pPr>
        <w:autoSpaceDE w:val="0"/>
        <w:autoSpaceDN w:val="0"/>
        <w:adjustRightInd w:val="0"/>
        <w:jc w:val="center"/>
        <w:rPr>
          <w:rFonts w:ascii="Cambria" w:hAnsi="Cambria"/>
          <w:b/>
          <w:bCs/>
          <w:sz w:val="32"/>
          <w:szCs w:val="32"/>
        </w:rPr>
      </w:pPr>
    </w:p>
    <w:p w14:paraId="1ADE89E5">
      <w:pPr>
        <w:autoSpaceDE w:val="0"/>
        <w:autoSpaceDN w:val="0"/>
        <w:adjustRightInd w:val="0"/>
        <w:jc w:val="center"/>
        <w:rPr>
          <w:rFonts w:ascii="Cambria" w:hAnsi="Cambria"/>
          <w:b/>
          <w:bCs/>
          <w:sz w:val="32"/>
          <w:szCs w:val="32"/>
        </w:rPr>
      </w:pPr>
    </w:p>
    <w:p w14:paraId="6FE85F8C">
      <w:pPr>
        <w:jc w:val="center"/>
        <w:rPr>
          <w:rFonts w:ascii="黑体" w:hAnsi="黑体" w:eastAsia="黑体"/>
          <w:sz w:val="30"/>
          <w:szCs w:val="30"/>
        </w:rPr>
      </w:pPr>
      <w:r>
        <w:rPr>
          <w:rFonts w:hint="eastAsia" w:ascii="黑体" w:hAnsi="黑体" w:eastAsia="黑体"/>
          <w:sz w:val="36"/>
          <w:szCs w:val="36"/>
        </w:rPr>
        <w:t>竞价公告</w:t>
      </w:r>
    </w:p>
    <w:p w14:paraId="5FFA154B">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w:t>
      </w:r>
      <w:r>
        <w:rPr>
          <w:rFonts w:hint="eastAsia"/>
          <w:szCs w:val="21"/>
          <w:lang w:eastAsia="zh-CN"/>
        </w:rPr>
        <w:t>广东省监狱中心医院2025年医用气体采购项目(重招)</w:t>
      </w:r>
      <w:r>
        <w:rPr>
          <w:rFonts w:hint="eastAsia"/>
          <w:szCs w:val="21"/>
        </w:rPr>
        <w:t>（项目编号：</w:t>
      </w:r>
      <w:r>
        <w:rPr>
          <w:rFonts w:hint="eastAsia"/>
          <w:szCs w:val="21"/>
          <w:lang w:eastAsia="zh-CN"/>
        </w:rPr>
        <w:t>GZGK25P038A0038J-1</w:t>
      </w:r>
      <w:r>
        <w:rPr>
          <w:rFonts w:hint="eastAsia"/>
          <w:szCs w:val="21"/>
        </w:rPr>
        <w:t>）进行线上竞价采购。</w:t>
      </w:r>
    </w:p>
    <w:tbl>
      <w:tblPr>
        <w:tblStyle w:val="22"/>
        <w:tblW w:w="5000"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44"/>
        <w:gridCol w:w="891"/>
        <w:gridCol w:w="1297"/>
        <w:gridCol w:w="1059"/>
        <w:gridCol w:w="1403"/>
        <w:gridCol w:w="3802"/>
      </w:tblGrid>
      <w:tr w14:paraId="6DE7AF1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D4AE7F3">
            <w:pPr>
              <w:jc w:val="center"/>
              <w:rPr>
                <w:b/>
                <w:szCs w:val="21"/>
              </w:rPr>
            </w:pPr>
            <w:r>
              <w:rPr>
                <w:rFonts w:hint="eastAsia"/>
                <w:b/>
                <w:szCs w:val="21"/>
              </w:rPr>
              <w:t>项目名称</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C79F54">
            <w:pPr>
              <w:rPr>
                <w:rFonts w:hint="eastAsia" w:eastAsia="宋体"/>
                <w:szCs w:val="21"/>
                <w:lang w:eastAsia="zh-CN"/>
              </w:rPr>
            </w:pPr>
            <w:r>
              <w:rPr>
                <w:rFonts w:hint="eastAsia"/>
                <w:szCs w:val="21"/>
                <w:lang w:eastAsia="zh-CN"/>
              </w:rPr>
              <w:t>广东省监狱中心医院2025年医用气体采购项目(重招)</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AC0D8A1">
            <w:pPr>
              <w:jc w:val="center"/>
              <w:rPr>
                <w:b/>
                <w:szCs w:val="21"/>
              </w:rPr>
            </w:pPr>
            <w:r>
              <w:rPr>
                <w:rFonts w:hint="eastAsia"/>
                <w:b/>
                <w:szCs w:val="21"/>
              </w:rPr>
              <w:t>项目编号</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5248C8">
            <w:pPr>
              <w:rPr>
                <w:rFonts w:hint="eastAsia" w:eastAsia="宋体"/>
                <w:szCs w:val="21"/>
                <w:lang w:eastAsia="zh-CN"/>
              </w:rPr>
            </w:pPr>
            <w:r>
              <w:rPr>
                <w:rFonts w:hint="eastAsia"/>
                <w:szCs w:val="21"/>
                <w:lang w:eastAsia="zh-CN"/>
              </w:rPr>
              <w:t>GZGK25P038A0038J-1</w:t>
            </w:r>
          </w:p>
        </w:tc>
      </w:tr>
      <w:tr w14:paraId="68B1A3A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7C3D954">
            <w:pPr>
              <w:jc w:val="center"/>
              <w:rPr>
                <w:b/>
                <w:szCs w:val="21"/>
              </w:rPr>
            </w:pPr>
            <w:r>
              <w:rPr>
                <w:rFonts w:hint="eastAsia"/>
                <w:b/>
                <w:szCs w:val="21"/>
              </w:rPr>
              <w:t>报名时间</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FA67D48">
            <w:pPr>
              <w:rPr>
                <w:color w:val="auto"/>
                <w:szCs w:val="21"/>
              </w:rPr>
            </w:pPr>
            <w:r>
              <w:rPr>
                <w:rFonts w:hint="eastAsia"/>
                <w:color w:val="auto"/>
                <w:szCs w:val="21"/>
              </w:rPr>
              <w:t>公告发布之日起</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AF98D97">
            <w:pPr>
              <w:jc w:val="center"/>
              <w:rPr>
                <w:b/>
                <w:color w:val="auto"/>
                <w:szCs w:val="21"/>
              </w:rPr>
            </w:pPr>
            <w:r>
              <w:rPr>
                <w:rFonts w:hint="eastAsia"/>
                <w:b/>
                <w:color w:val="auto"/>
                <w:szCs w:val="21"/>
              </w:rPr>
              <w:t>报名结束时间</w:t>
            </w:r>
          </w:p>
        </w:tc>
        <w:tc>
          <w:tcPr>
            <w:tcW w:w="326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125122">
            <w:pPr>
              <w:jc w:val="left"/>
              <w:rPr>
                <w:color w:val="auto"/>
                <w:szCs w:val="21"/>
              </w:rPr>
            </w:pPr>
            <w:r>
              <w:rPr>
                <w:rFonts w:hint="eastAsia"/>
                <w:color w:val="auto"/>
                <w:szCs w:val="21"/>
              </w:rPr>
              <w:t>2025年</w:t>
            </w:r>
            <w:r>
              <w:rPr>
                <w:rFonts w:hint="eastAsia"/>
                <w:color w:val="auto"/>
                <w:szCs w:val="21"/>
                <w:lang w:val="en-US" w:eastAsia="zh-CN"/>
              </w:rPr>
              <w:t>2</w:t>
            </w:r>
            <w:r>
              <w:rPr>
                <w:rFonts w:hint="eastAsia"/>
                <w:color w:val="auto"/>
                <w:szCs w:val="21"/>
              </w:rPr>
              <w:t>月</w:t>
            </w:r>
            <w:r>
              <w:rPr>
                <w:rFonts w:hint="eastAsia"/>
                <w:color w:val="auto"/>
                <w:szCs w:val="21"/>
                <w:lang w:val="en-US" w:eastAsia="zh-CN"/>
              </w:rPr>
              <w:t>17</w:t>
            </w:r>
            <w:r>
              <w:rPr>
                <w:rFonts w:hint="eastAsia"/>
                <w:color w:val="auto"/>
                <w:szCs w:val="21"/>
              </w:rPr>
              <w:t>日1</w:t>
            </w:r>
            <w:r>
              <w:rPr>
                <w:rFonts w:hint="eastAsia"/>
                <w:color w:val="auto"/>
                <w:szCs w:val="21"/>
                <w:lang w:val="en-US" w:eastAsia="zh-CN"/>
              </w:rPr>
              <w:t>7</w:t>
            </w:r>
            <w:r>
              <w:rPr>
                <w:rFonts w:hint="eastAsia"/>
                <w:color w:val="auto"/>
                <w:szCs w:val="21"/>
              </w:rPr>
              <w:t>:30</w:t>
            </w:r>
          </w:p>
        </w:tc>
      </w:tr>
      <w:tr w14:paraId="592CC4E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BEC21C4">
            <w:pPr>
              <w:jc w:val="center"/>
              <w:rPr>
                <w:b/>
                <w:szCs w:val="21"/>
              </w:rPr>
            </w:pPr>
            <w:r>
              <w:rPr>
                <w:rFonts w:hint="eastAsia"/>
                <w:b/>
                <w:szCs w:val="21"/>
              </w:rPr>
              <w:t>报价时间</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B2B0D18">
            <w:pPr>
              <w:rPr>
                <w:color w:val="auto"/>
                <w:szCs w:val="21"/>
              </w:rPr>
            </w:pPr>
            <w:r>
              <w:rPr>
                <w:rFonts w:hint="eastAsia"/>
                <w:color w:val="auto"/>
                <w:szCs w:val="21"/>
              </w:rPr>
              <w:t>公告发布之日起</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A86E923">
            <w:pPr>
              <w:jc w:val="center"/>
              <w:rPr>
                <w:b/>
                <w:color w:val="auto"/>
                <w:szCs w:val="21"/>
              </w:rPr>
            </w:pPr>
            <w:r>
              <w:rPr>
                <w:rFonts w:hint="eastAsia"/>
                <w:b/>
                <w:color w:val="auto"/>
                <w:szCs w:val="21"/>
              </w:rPr>
              <w:t>首轮报价结束时间</w:t>
            </w:r>
          </w:p>
        </w:tc>
        <w:tc>
          <w:tcPr>
            <w:tcW w:w="326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7AC954">
            <w:pPr>
              <w:jc w:val="left"/>
              <w:rPr>
                <w:color w:val="auto"/>
                <w:szCs w:val="21"/>
              </w:rPr>
            </w:pPr>
            <w:r>
              <w:rPr>
                <w:rFonts w:hint="eastAsia"/>
                <w:color w:val="auto"/>
                <w:szCs w:val="21"/>
              </w:rPr>
              <w:t>2025年</w:t>
            </w:r>
            <w:r>
              <w:rPr>
                <w:rFonts w:hint="eastAsia"/>
                <w:color w:val="auto"/>
                <w:szCs w:val="21"/>
                <w:lang w:val="en-US" w:eastAsia="zh-CN"/>
              </w:rPr>
              <w:t>2</w:t>
            </w:r>
            <w:r>
              <w:rPr>
                <w:rFonts w:hint="eastAsia"/>
                <w:color w:val="auto"/>
                <w:szCs w:val="21"/>
              </w:rPr>
              <w:t>月</w:t>
            </w:r>
            <w:r>
              <w:rPr>
                <w:rFonts w:hint="eastAsia"/>
                <w:color w:val="auto"/>
                <w:szCs w:val="21"/>
                <w:lang w:val="en-US" w:eastAsia="zh-CN"/>
              </w:rPr>
              <w:t>18</w:t>
            </w:r>
            <w:r>
              <w:rPr>
                <w:rFonts w:hint="eastAsia"/>
                <w:color w:val="auto"/>
                <w:szCs w:val="21"/>
              </w:rPr>
              <w:t>日1</w:t>
            </w:r>
            <w:r>
              <w:rPr>
                <w:rFonts w:hint="eastAsia"/>
                <w:color w:val="auto"/>
                <w:szCs w:val="21"/>
                <w:lang w:val="en-US" w:eastAsia="zh-CN"/>
              </w:rPr>
              <w:t>2</w:t>
            </w:r>
            <w:r>
              <w:rPr>
                <w:rFonts w:hint="eastAsia"/>
                <w:color w:val="auto"/>
                <w:szCs w:val="21"/>
              </w:rPr>
              <w:t>:</w:t>
            </w:r>
            <w:r>
              <w:rPr>
                <w:rFonts w:hint="eastAsia"/>
                <w:color w:val="auto"/>
                <w:szCs w:val="21"/>
                <w:lang w:val="en-US" w:eastAsia="zh-CN"/>
              </w:rPr>
              <w:t>0</w:t>
            </w:r>
            <w:r>
              <w:rPr>
                <w:rFonts w:hint="eastAsia"/>
                <w:color w:val="auto"/>
                <w:szCs w:val="21"/>
              </w:rPr>
              <w:t>0</w:t>
            </w:r>
          </w:p>
        </w:tc>
      </w:tr>
      <w:tr w14:paraId="15CB614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C171B26">
            <w:pPr>
              <w:jc w:val="center"/>
              <w:rPr>
                <w:b/>
                <w:szCs w:val="21"/>
              </w:rPr>
            </w:pPr>
            <w:r>
              <w:rPr>
                <w:rFonts w:hint="eastAsia"/>
                <w:b/>
                <w:szCs w:val="21"/>
              </w:rPr>
              <w:t>竞价时间</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42DB736">
            <w:pPr>
              <w:rPr>
                <w:color w:val="auto"/>
                <w:szCs w:val="21"/>
              </w:rPr>
            </w:pPr>
            <w:r>
              <w:rPr>
                <w:rFonts w:hint="eastAsia"/>
                <w:color w:val="auto"/>
                <w:szCs w:val="21"/>
              </w:rPr>
              <w:t>2025</w:t>
            </w:r>
            <w:r>
              <w:rPr>
                <w:rFonts w:hint="eastAsia"/>
                <w:color w:val="auto"/>
                <w:szCs w:val="21"/>
                <w:lang w:val="en-US" w:eastAsia="zh-CN"/>
              </w:rPr>
              <w:t>年2</w:t>
            </w:r>
            <w:r>
              <w:rPr>
                <w:rFonts w:hint="eastAsia"/>
                <w:color w:val="auto"/>
                <w:szCs w:val="21"/>
              </w:rPr>
              <w:t>月</w:t>
            </w:r>
            <w:r>
              <w:rPr>
                <w:rFonts w:hint="eastAsia"/>
                <w:color w:val="auto"/>
                <w:szCs w:val="21"/>
                <w:lang w:val="en-US" w:eastAsia="zh-CN"/>
              </w:rPr>
              <w:t>18日9</w:t>
            </w:r>
            <w:r>
              <w:rPr>
                <w:rFonts w:hint="eastAsia"/>
                <w:color w:val="auto"/>
                <w:szCs w:val="21"/>
              </w:rPr>
              <w:t>:00-1</w:t>
            </w:r>
            <w:r>
              <w:rPr>
                <w:rFonts w:hint="eastAsia"/>
                <w:color w:val="auto"/>
                <w:szCs w:val="21"/>
                <w:lang w:val="en-US" w:eastAsia="zh-CN"/>
              </w:rPr>
              <w:t>2</w:t>
            </w:r>
            <w:r>
              <w:rPr>
                <w:rFonts w:hint="eastAsia"/>
                <w:color w:val="auto"/>
                <w:szCs w:val="21"/>
              </w:rPr>
              <w:t>:</w:t>
            </w:r>
            <w:r>
              <w:rPr>
                <w:rFonts w:hint="eastAsia"/>
                <w:color w:val="auto"/>
                <w:szCs w:val="21"/>
                <w:lang w:val="en-US" w:eastAsia="zh-CN"/>
              </w:rPr>
              <w:t>0</w:t>
            </w:r>
            <w:r>
              <w:rPr>
                <w:rFonts w:hint="eastAsia"/>
                <w:color w:val="auto"/>
                <w:szCs w:val="21"/>
              </w:rPr>
              <w:t>0</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4E5E367">
            <w:pPr>
              <w:jc w:val="center"/>
              <w:rPr>
                <w:b/>
                <w:color w:val="auto"/>
                <w:szCs w:val="21"/>
              </w:rPr>
            </w:pPr>
            <w:r>
              <w:rPr>
                <w:rFonts w:hint="eastAsia"/>
                <w:b/>
                <w:color w:val="auto"/>
                <w:szCs w:val="21"/>
              </w:rPr>
              <w:t>竞价结束时间</w:t>
            </w:r>
          </w:p>
        </w:tc>
        <w:tc>
          <w:tcPr>
            <w:tcW w:w="326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65D97A1">
            <w:pPr>
              <w:jc w:val="left"/>
              <w:rPr>
                <w:color w:val="auto"/>
                <w:szCs w:val="21"/>
              </w:rPr>
            </w:pPr>
            <w:r>
              <w:rPr>
                <w:rFonts w:hint="eastAsia"/>
                <w:color w:val="auto"/>
                <w:szCs w:val="21"/>
              </w:rPr>
              <w:t>2025年</w:t>
            </w:r>
            <w:r>
              <w:rPr>
                <w:rFonts w:hint="eastAsia"/>
                <w:color w:val="auto"/>
                <w:szCs w:val="21"/>
                <w:lang w:val="en-US" w:eastAsia="zh-CN"/>
              </w:rPr>
              <w:t>2</w:t>
            </w:r>
            <w:r>
              <w:rPr>
                <w:rFonts w:hint="eastAsia"/>
                <w:color w:val="auto"/>
                <w:szCs w:val="21"/>
              </w:rPr>
              <w:t>月</w:t>
            </w:r>
            <w:r>
              <w:rPr>
                <w:rFonts w:hint="eastAsia"/>
                <w:color w:val="auto"/>
                <w:szCs w:val="21"/>
                <w:lang w:val="en-US" w:eastAsia="zh-CN"/>
              </w:rPr>
              <w:t>18</w:t>
            </w:r>
            <w:r>
              <w:rPr>
                <w:rFonts w:hint="eastAsia"/>
                <w:color w:val="auto"/>
                <w:szCs w:val="21"/>
              </w:rPr>
              <w:t>日1</w:t>
            </w:r>
            <w:r>
              <w:rPr>
                <w:rFonts w:hint="eastAsia"/>
                <w:color w:val="auto"/>
                <w:szCs w:val="21"/>
                <w:lang w:val="en-US" w:eastAsia="zh-CN"/>
              </w:rPr>
              <w:t>2</w:t>
            </w:r>
            <w:r>
              <w:rPr>
                <w:rFonts w:hint="eastAsia"/>
                <w:color w:val="auto"/>
                <w:szCs w:val="21"/>
              </w:rPr>
              <w:t>:</w:t>
            </w:r>
            <w:r>
              <w:rPr>
                <w:rFonts w:hint="eastAsia"/>
                <w:color w:val="auto"/>
                <w:szCs w:val="21"/>
                <w:lang w:val="en-US" w:eastAsia="zh-CN"/>
              </w:rPr>
              <w:t>0</w:t>
            </w:r>
            <w:r>
              <w:rPr>
                <w:rFonts w:hint="eastAsia"/>
                <w:color w:val="auto"/>
                <w:szCs w:val="21"/>
              </w:rPr>
              <w:t>0</w:t>
            </w:r>
          </w:p>
        </w:tc>
      </w:tr>
      <w:tr w14:paraId="5A4423D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825F96">
            <w:pPr>
              <w:jc w:val="center"/>
              <w:rPr>
                <w:b/>
                <w:szCs w:val="21"/>
              </w:rPr>
            </w:pPr>
            <w:r>
              <w:rPr>
                <w:rFonts w:hint="eastAsia"/>
                <w:b/>
                <w:szCs w:val="21"/>
              </w:rPr>
              <w:t>报价次数</w:t>
            </w:r>
          </w:p>
        </w:tc>
        <w:tc>
          <w:tcPr>
            <w:tcW w:w="4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AA70CC">
            <w:pPr>
              <w:jc w:val="center"/>
              <w:rPr>
                <w:szCs w:val="21"/>
              </w:rPr>
            </w:pPr>
            <w:r>
              <w:rPr>
                <w:rFonts w:hint="eastAsia"/>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6D4332B3">
            <w:pPr>
              <w:jc w:val="center"/>
              <w:rPr>
                <w:bCs/>
                <w:szCs w:val="21"/>
              </w:rPr>
            </w:pPr>
            <w:r>
              <w:rPr>
                <w:rFonts w:hint="eastAsia"/>
                <w:bCs/>
                <w:szCs w:val="21"/>
              </w:rPr>
              <w:t>报价是否含税</w:t>
            </w:r>
          </w:p>
        </w:tc>
        <w:tc>
          <w:tcPr>
            <w:tcW w:w="517"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5195AB2D">
            <w:pPr>
              <w:jc w:val="center"/>
              <w:rPr>
                <w:szCs w:val="21"/>
              </w:rPr>
            </w:pPr>
            <w:r>
              <w:rPr>
                <w:rFonts w:hint="eastAsia"/>
                <w:szCs w:val="21"/>
              </w:rPr>
              <w:t>是</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0ED75FA">
            <w:pPr>
              <w:jc w:val="center"/>
              <w:rPr>
                <w:b/>
                <w:szCs w:val="21"/>
              </w:rPr>
            </w:pPr>
            <w:r>
              <w:rPr>
                <w:rFonts w:hint="eastAsia"/>
                <w:b/>
                <w:szCs w:val="21"/>
              </w:rPr>
              <w:t>报价规则</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EC472C7">
            <w:pPr>
              <w:jc w:val="center"/>
              <w:rPr>
                <w:szCs w:val="21"/>
              </w:rPr>
            </w:pPr>
            <w:r>
              <w:rPr>
                <w:rFonts w:hint="eastAsia"/>
                <w:szCs w:val="21"/>
              </w:rPr>
              <w:t>不公开报价供应商的公司名称及报价金额</w:t>
            </w:r>
          </w:p>
        </w:tc>
      </w:tr>
      <w:tr w14:paraId="4A1DE20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E1B8D90">
            <w:pPr>
              <w:jc w:val="center"/>
              <w:rPr>
                <w:b/>
                <w:szCs w:val="21"/>
              </w:rPr>
            </w:pPr>
            <w:r>
              <w:rPr>
                <w:rFonts w:hint="eastAsia"/>
                <w:b/>
                <w:szCs w:val="21"/>
              </w:rPr>
              <w:t>采购内容</w:t>
            </w:r>
          </w:p>
        </w:tc>
        <w:tc>
          <w:tcPr>
            <w:tcW w:w="159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9E4F26C">
            <w:pPr>
              <w:jc w:val="center"/>
              <w:rPr>
                <w:rFonts w:hint="eastAsia" w:eastAsia="宋体"/>
                <w:b/>
                <w:szCs w:val="21"/>
                <w:lang w:eastAsia="zh-CN"/>
              </w:rPr>
            </w:pPr>
            <w:r>
              <w:rPr>
                <w:rFonts w:hint="eastAsia" w:ascii="宋体" w:hAnsi="宋体"/>
                <w:szCs w:val="21"/>
                <w:shd w:val="clear" w:color="auto" w:fill="FFFFFF"/>
                <w:lang w:val="en-US" w:eastAsia="zh-CN"/>
              </w:rPr>
              <w:t>医用气体</w:t>
            </w:r>
          </w:p>
        </w:tc>
        <w:tc>
          <w:tcPr>
            <w:tcW w:w="68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5B875AC">
            <w:pPr>
              <w:jc w:val="center"/>
              <w:rPr>
                <w:b/>
                <w:szCs w:val="21"/>
              </w:rPr>
            </w:pPr>
            <w:r>
              <w:rPr>
                <w:rFonts w:hint="eastAsia"/>
                <w:b/>
                <w:szCs w:val="21"/>
              </w:rPr>
              <w:t>数量</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CA7DD0">
            <w:pPr>
              <w:jc w:val="center"/>
              <w:rPr>
                <w:b/>
                <w:szCs w:val="21"/>
              </w:rPr>
            </w:pPr>
            <w:r>
              <w:rPr>
                <w:rFonts w:hint="eastAsia"/>
                <w:szCs w:val="21"/>
              </w:rPr>
              <w:t>1批</w:t>
            </w:r>
          </w:p>
        </w:tc>
      </w:tr>
      <w:tr w14:paraId="1A84750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03ED6AF">
            <w:pPr>
              <w:spacing w:line="440" w:lineRule="exact"/>
              <w:jc w:val="center"/>
              <w:rPr>
                <w:b/>
                <w:szCs w:val="21"/>
              </w:rPr>
            </w:pPr>
            <w:r>
              <w:rPr>
                <w:rFonts w:hint="eastAsia"/>
                <w:b/>
                <w:szCs w:val="21"/>
              </w:rPr>
              <w:t>最高限价</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76E1E35">
            <w:pPr>
              <w:widowControl/>
              <w:spacing w:line="360" w:lineRule="auto"/>
              <w:jc w:val="left"/>
              <w:rPr>
                <w:szCs w:val="21"/>
              </w:rPr>
            </w:pPr>
            <w:r>
              <w:rPr>
                <w:rFonts w:hint="eastAsia"/>
                <w:szCs w:val="21"/>
              </w:rPr>
              <w:t>人民币</w:t>
            </w:r>
            <w:r>
              <w:rPr>
                <w:szCs w:val="21"/>
              </w:rPr>
              <w:t>45</w:t>
            </w:r>
            <w:r>
              <w:rPr>
                <w:rFonts w:hint="eastAsia"/>
                <w:szCs w:val="21"/>
              </w:rPr>
              <w:t>.</w:t>
            </w:r>
            <w:r>
              <w:rPr>
                <w:szCs w:val="21"/>
              </w:rPr>
              <w:t>8</w:t>
            </w:r>
            <w:r>
              <w:rPr>
                <w:rFonts w:hint="eastAsia"/>
                <w:szCs w:val="21"/>
              </w:rPr>
              <w:t>万元</w:t>
            </w:r>
          </w:p>
        </w:tc>
      </w:tr>
      <w:tr w14:paraId="73A0FB5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4EFA63">
            <w:pPr>
              <w:spacing w:line="440" w:lineRule="exact"/>
              <w:jc w:val="center"/>
              <w:rPr>
                <w:b/>
                <w:szCs w:val="21"/>
              </w:rPr>
            </w:pPr>
            <w:r>
              <w:rPr>
                <w:rFonts w:hint="eastAsia"/>
                <w:b/>
                <w:szCs w:val="21"/>
              </w:rPr>
              <w:t>供应商资格要求及响应要求</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0D2327">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14:paraId="0519F6A9">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14:paraId="44967A83">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14:paraId="69121C3F">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14:paraId="4B63ECAE">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14:paraId="256D95DD">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14:paraId="20C3BB74">
            <w:pPr>
              <w:autoSpaceDE w:val="0"/>
              <w:autoSpaceDN w:val="0"/>
              <w:adjustRightInd w:val="0"/>
              <w:spacing w:line="440" w:lineRule="exact"/>
              <w:outlineLvl w:val="2"/>
              <w:rPr>
                <w:szCs w:val="21"/>
              </w:rPr>
            </w:pPr>
            <w:r>
              <w:rPr>
                <w:rFonts w:hint="eastAsia"/>
                <w:szCs w:val="21"/>
              </w:rPr>
              <w:t>5)具备法律、行政法规规定的其他条件的证明材料。</w:t>
            </w:r>
          </w:p>
          <w:p w14:paraId="4056CC3C">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14:paraId="6DF4B2C9">
            <w:pPr>
              <w:tabs>
                <w:tab w:val="left" w:pos="525"/>
                <w:tab w:val="left" w:pos="630"/>
                <w:tab w:val="left" w:pos="735"/>
                <w:tab w:val="left" w:pos="851"/>
              </w:tabs>
              <w:spacing w:line="360" w:lineRule="auto"/>
            </w:pPr>
            <w:r>
              <w:rPr>
                <w:rFonts w:hint="eastAsia"/>
              </w:rPr>
              <w:t>4.1 若供应商为生产商则要求：</w:t>
            </w:r>
          </w:p>
          <w:p w14:paraId="40D649B0">
            <w:pPr>
              <w:tabs>
                <w:tab w:val="left" w:pos="525"/>
                <w:tab w:val="left" w:pos="630"/>
                <w:tab w:val="left" w:pos="735"/>
                <w:tab w:val="left" w:pos="851"/>
              </w:tabs>
              <w:spacing w:line="360" w:lineRule="auto"/>
              <w:ind w:firstLine="315" w:firstLineChars="150"/>
            </w:pPr>
            <w:r>
              <w:rPr>
                <w:rFonts w:hint="eastAsia"/>
              </w:rPr>
              <w:t>①须具有有效的《药品生产许可证》</w:t>
            </w:r>
            <w:r>
              <w:t>，证书中生产范围须包含医用氧</w:t>
            </w:r>
            <w:r>
              <w:rPr>
                <w:rFonts w:hint="eastAsia"/>
              </w:rPr>
              <w:t>；</w:t>
            </w:r>
          </w:p>
          <w:p w14:paraId="6CB30EBA">
            <w:pPr>
              <w:tabs>
                <w:tab w:val="left" w:pos="525"/>
                <w:tab w:val="left" w:pos="630"/>
                <w:tab w:val="left" w:pos="735"/>
                <w:tab w:val="left" w:pos="851"/>
              </w:tabs>
              <w:spacing w:line="360" w:lineRule="auto"/>
              <w:ind w:firstLine="315" w:firstLineChars="150"/>
            </w:pPr>
            <w:r>
              <w:rPr>
                <w:rFonts w:hint="eastAsia"/>
              </w:rPr>
              <w:t>②本次采购的医用氧具有在有效期内的《药品注册批件》或《药品再注册批件》或《药品补充申请批件》；</w:t>
            </w:r>
          </w:p>
          <w:p w14:paraId="782F5B91">
            <w:pPr>
              <w:tabs>
                <w:tab w:val="left" w:pos="525"/>
                <w:tab w:val="left" w:pos="630"/>
                <w:tab w:val="left" w:pos="735"/>
                <w:tab w:val="left" w:pos="851"/>
              </w:tabs>
              <w:spacing w:line="360" w:lineRule="auto"/>
              <w:ind w:firstLine="315" w:firstLineChars="150"/>
            </w:pPr>
            <w:r>
              <w:rPr>
                <w:rFonts w:hint="eastAsia"/>
              </w:rPr>
              <w:t>③须具有在有效期内的《危险化学品安全生产许可证》（证书许可范围须包含本次采购的气体）；</w:t>
            </w:r>
          </w:p>
          <w:p w14:paraId="6F30A279">
            <w:pPr>
              <w:tabs>
                <w:tab w:val="left" w:pos="525"/>
                <w:tab w:val="left" w:pos="630"/>
                <w:tab w:val="left" w:pos="735"/>
                <w:tab w:val="left" w:pos="851"/>
              </w:tabs>
              <w:spacing w:line="360" w:lineRule="auto"/>
              <w:ind w:firstLine="315" w:firstLineChars="150"/>
            </w:pPr>
            <w:r>
              <w:rPr>
                <w:rFonts w:hint="eastAsia"/>
              </w:rPr>
              <w:t>④具有有效的气瓶（移动式压力容器）充装许可证。</w:t>
            </w:r>
          </w:p>
          <w:p w14:paraId="01A463B7">
            <w:pPr>
              <w:tabs>
                <w:tab w:val="left" w:pos="525"/>
                <w:tab w:val="left" w:pos="630"/>
                <w:tab w:val="left" w:pos="735"/>
                <w:tab w:val="left" w:pos="851"/>
              </w:tabs>
              <w:spacing w:line="360" w:lineRule="auto"/>
            </w:pPr>
            <w:r>
              <w:rPr>
                <w:rFonts w:hint="eastAsia"/>
              </w:rPr>
              <w:t>4.2 若供应商为代理商则要求：</w:t>
            </w:r>
          </w:p>
          <w:p w14:paraId="4BCCCE63">
            <w:pPr>
              <w:tabs>
                <w:tab w:val="left" w:pos="525"/>
                <w:tab w:val="left" w:pos="630"/>
                <w:tab w:val="left" w:pos="735"/>
                <w:tab w:val="left" w:pos="851"/>
              </w:tabs>
              <w:spacing w:line="360" w:lineRule="auto"/>
              <w:ind w:firstLine="315" w:firstLineChars="150"/>
            </w:pPr>
            <w:r>
              <w:rPr>
                <w:rFonts w:hint="eastAsia"/>
              </w:rPr>
              <w:t>①须具有有效的《药品经营许可证》</w:t>
            </w:r>
            <w:r>
              <w:t>，证书中</w:t>
            </w:r>
            <w:r>
              <w:rPr>
                <w:rFonts w:hint="eastAsia"/>
              </w:rPr>
              <w:t>经营</w:t>
            </w:r>
            <w:r>
              <w:t>范围须包含医用氧</w:t>
            </w:r>
            <w:r>
              <w:rPr>
                <w:rFonts w:hint="eastAsia"/>
              </w:rPr>
              <w:t>；</w:t>
            </w:r>
          </w:p>
          <w:p w14:paraId="4EA3EE75">
            <w:pPr>
              <w:tabs>
                <w:tab w:val="left" w:pos="525"/>
                <w:tab w:val="left" w:pos="630"/>
                <w:tab w:val="left" w:pos="735"/>
                <w:tab w:val="left" w:pos="851"/>
              </w:tabs>
              <w:spacing w:line="360" w:lineRule="auto"/>
              <w:ind w:firstLine="315" w:firstLineChars="150"/>
            </w:pPr>
            <w:r>
              <w:rPr>
                <w:rFonts w:hint="eastAsia"/>
              </w:rPr>
              <w:t>②须具有有效的《危险化学品经营许可证》（证书经营范围须包含本次采购的气体）；</w:t>
            </w:r>
          </w:p>
          <w:p w14:paraId="2B29A90B">
            <w:pPr>
              <w:tabs>
                <w:tab w:val="left" w:pos="525"/>
                <w:tab w:val="left" w:pos="630"/>
                <w:tab w:val="left" w:pos="735"/>
                <w:tab w:val="left" w:pos="851"/>
              </w:tabs>
              <w:spacing w:line="360" w:lineRule="auto"/>
              <w:ind w:firstLine="315" w:firstLineChars="150"/>
            </w:pPr>
            <w:r>
              <w:rPr>
                <w:rFonts w:hint="eastAsia"/>
              </w:rPr>
              <w:t>③所投产品生产商需具有4.1所要求的相关要求。</w:t>
            </w:r>
          </w:p>
          <w:p w14:paraId="7568C17A">
            <w:pPr>
              <w:tabs>
                <w:tab w:val="left" w:pos="525"/>
                <w:tab w:val="left" w:pos="630"/>
                <w:tab w:val="left" w:pos="735"/>
                <w:tab w:val="left" w:pos="851"/>
              </w:tabs>
              <w:spacing w:line="360" w:lineRule="auto"/>
              <w:ind w:firstLine="315" w:firstLineChars="150"/>
            </w:pPr>
            <w:r>
              <w:rPr>
                <w:rFonts w:hint="eastAsia"/>
              </w:rPr>
              <w:t>注：本次采购的气体详见第二章“采购需求”。</w:t>
            </w:r>
          </w:p>
          <w:p w14:paraId="2B4201BE">
            <w:pPr>
              <w:autoSpaceDE w:val="0"/>
              <w:autoSpaceDN w:val="0"/>
              <w:adjustRightInd w:val="0"/>
              <w:spacing w:line="440" w:lineRule="exact"/>
              <w:outlineLvl w:val="2"/>
              <w:rPr>
                <w:szCs w:val="21"/>
              </w:rPr>
            </w:pPr>
            <w:r>
              <w:rPr>
                <w:rFonts w:hint="eastAsia"/>
              </w:rPr>
              <w:t>4.3 供应商须具有交通部门颁发的《道路运输经营许可证》；如不具备可委托具有相应资质的单位负责运输，须提供该运输单位的营业执照副本、《道路运输经营许可证》和委托（合作）协议。</w:t>
            </w:r>
          </w:p>
          <w:p w14:paraId="6DA8D9C3">
            <w:pPr>
              <w:autoSpaceDE w:val="0"/>
              <w:autoSpaceDN w:val="0"/>
              <w:adjustRightInd w:val="0"/>
              <w:spacing w:line="440" w:lineRule="exact"/>
              <w:outlineLvl w:val="2"/>
              <w:rPr>
                <w:szCs w:val="21"/>
              </w:rPr>
            </w:pPr>
            <w:r>
              <w:rPr>
                <w:rFonts w:hint="eastAsia"/>
                <w:szCs w:val="21"/>
              </w:rPr>
              <w:t>5.已购买了本项目的竞价文件。</w:t>
            </w:r>
          </w:p>
          <w:p w14:paraId="378B32B7">
            <w:pPr>
              <w:autoSpaceDE w:val="0"/>
              <w:autoSpaceDN w:val="0"/>
              <w:adjustRightInd w:val="0"/>
              <w:spacing w:line="440" w:lineRule="exact"/>
              <w:outlineLvl w:val="2"/>
              <w:rPr>
                <w:szCs w:val="21"/>
              </w:rPr>
            </w:pPr>
            <w:r>
              <w:rPr>
                <w:rFonts w:hint="eastAsia"/>
                <w:szCs w:val="21"/>
              </w:rPr>
              <w:t>6.本项目不接受联合体报价。</w:t>
            </w:r>
          </w:p>
          <w:p w14:paraId="789C462C">
            <w:pPr>
              <w:autoSpaceDE w:val="0"/>
              <w:autoSpaceDN w:val="0"/>
              <w:adjustRightInd w:val="0"/>
              <w:spacing w:line="360" w:lineRule="auto"/>
              <w:outlineLvl w:val="2"/>
              <w:rPr>
                <w:szCs w:val="21"/>
              </w:rPr>
            </w:pPr>
            <w:r>
              <w:rPr>
                <w:rFonts w:hint="eastAsia"/>
                <w:szCs w:val="21"/>
              </w:rPr>
              <w:t>注： 参与竞价的供应商报价时需要提供以下盖章资料，并对上传的响应文件资料承担责任。</w:t>
            </w:r>
          </w:p>
          <w:p w14:paraId="4B7B6423">
            <w:pPr>
              <w:autoSpaceDE w:val="0"/>
              <w:autoSpaceDN w:val="0"/>
              <w:adjustRightInd w:val="0"/>
              <w:spacing w:line="360" w:lineRule="auto"/>
              <w:ind w:firstLine="420" w:firstLineChars="200"/>
              <w:outlineLvl w:val="2"/>
              <w:rPr>
                <w:szCs w:val="21"/>
              </w:rPr>
            </w:pPr>
            <w:r>
              <w:rPr>
                <w:rFonts w:hint="eastAsia"/>
                <w:szCs w:val="21"/>
              </w:rPr>
              <w:t>（1）营业执照（或事业法人登记证或身份证等相关证明）复印件。</w:t>
            </w:r>
          </w:p>
          <w:p w14:paraId="4673C761">
            <w:pPr>
              <w:autoSpaceDE w:val="0"/>
              <w:autoSpaceDN w:val="0"/>
              <w:adjustRightInd w:val="0"/>
              <w:spacing w:line="360" w:lineRule="auto"/>
              <w:ind w:firstLine="420" w:firstLineChars="200"/>
              <w:outlineLvl w:val="2"/>
              <w:rPr>
                <w:szCs w:val="21"/>
              </w:rPr>
            </w:pPr>
            <w:r>
              <w:rPr>
                <w:rFonts w:hint="eastAsia"/>
                <w:szCs w:val="21"/>
              </w:rPr>
              <w:t>（2）供应商资格声明函（详细见报价文件格式）；</w:t>
            </w:r>
          </w:p>
          <w:p w14:paraId="1044B69B">
            <w:pPr>
              <w:autoSpaceDE w:val="0"/>
              <w:autoSpaceDN w:val="0"/>
              <w:adjustRightInd w:val="0"/>
              <w:spacing w:line="360" w:lineRule="auto"/>
              <w:ind w:firstLine="420" w:firstLineChars="200"/>
              <w:outlineLvl w:val="2"/>
              <w:rPr>
                <w:szCs w:val="21"/>
              </w:rPr>
            </w:pPr>
            <w:r>
              <w:rPr>
                <w:rFonts w:hint="eastAsia"/>
                <w:szCs w:val="21"/>
              </w:rPr>
              <w:t>（3）法定代表人或企业负责人资格证明书及其身份证（正反面）（详细见报价文件格式）；</w:t>
            </w:r>
          </w:p>
          <w:p w14:paraId="5EDB11F5">
            <w:pPr>
              <w:autoSpaceDE w:val="0"/>
              <w:autoSpaceDN w:val="0"/>
              <w:adjustRightInd w:val="0"/>
              <w:spacing w:line="360" w:lineRule="auto"/>
              <w:ind w:firstLine="420" w:firstLineChars="200"/>
              <w:outlineLvl w:val="2"/>
              <w:rPr>
                <w:szCs w:val="21"/>
              </w:rPr>
            </w:pPr>
            <w:r>
              <w:rPr>
                <w:rFonts w:hint="eastAsia"/>
                <w:szCs w:val="21"/>
              </w:rPr>
              <w:t>（4）财务状况报告，依法缴纳税收和社会保障资金的相关材料；</w:t>
            </w:r>
          </w:p>
          <w:p w14:paraId="35F9E33F">
            <w:pPr>
              <w:autoSpaceDE w:val="0"/>
              <w:autoSpaceDN w:val="0"/>
              <w:adjustRightInd w:val="0"/>
              <w:spacing w:line="360" w:lineRule="auto"/>
              <w:ind w:firstLine="420" w:firstLineChars="200"/>
              <w:outlineLvl w:val="2"/>
              <w:rPr>
                <w:szCs w:val="21"/>
              </w:rPr>
            </w:pPr>
            <w:r>
              <w:rPr>
                <w:rFonts w:hint="eastAsia"/>
                <w:szCs w:val="21"/>
              </w:rPr>
              <w:t>（5）具备履行合同所必需的设备和专业技术能力的证明材料；</w:t>
            </w:r>
          </w:p>
          <w:p w14:paraId="24FE10B8">
            <w:pPr>
              <w:autoSpaceDE w:val="0"/>
              <w:autoSpaceDN w:val="0"/>
              <w:adjustRightInd w:val="0"/>
              <w:spacing w:line="360" w:lineRule="auto"/>
              <w:ind w:firstLine="420" w:firstLineChars="200"/>
              <w:outlineLvl w:val="2"/>
              <w:rPr>
                <w:szCs w:val="21"/>
              </w:rPr>
            </w:pPr>
            <w:r>
              <w:rPr>
                <w:rFonts w:hint="eastAsia"/>
                <w:szCs w:val="21"/>
              </w:rPr>
              <w:t>（6）参加政府采购活动前3年内在经营活动中没有重大违法记录的书面声明（承诺函）；</w:t>
            </w:r>
          </w:p>
          <w:p w14:paraId="05B7393A">
            <w:pPr>
              <w:autoSpaceDE w:val="0"/>
              <w:autoSpaceDN w:val="0"/>
              <w:adjustRightInd w:val="0"/>
              <w:spacing w:line="360" w:lineRule="auto"/>
              <w:ind w:firstLine="420" w:firstLineChars="200"/>
              <w:outlineLvl w:val="2"/>
              <w:rPr>
                <w:szCs w:val="21"/>
              </w:rPr>
            </w:pPr>
            <w:r>
              <w:rPr>
                <w:rFonts w:hint="eastAsia"/>
                <w:szCs w:val="21"/>
              </w:rPr>
              <w:t>（7）具备法律、行政法规规定的其他条件的证明材料（承诺函）；</w:t>
            </w:r>
          </w:p>
          <w:p w14:paraId="3A5D1BEA">
            <w:pPr>
              <w:autoSpaceDE w:val="0"/>
              <w:autoSpaceDN w:val="0"/>
              <w:adjustRightInd w:val="0"/>
              <w:spacing w:line="360" w:lineRule="auto"/>
              <w:ind w:firstLine="420" w:firstLineChars="200"/>
              <w:outlineLvl w:val="2"/>
              <w:rPr>
                <w:szCs w:val="21"/>
              </w:rPr>
            </w:pPr>
            <w:r>
              <w:rPr>
                <w:rFonts w:hint="eastAsia"/>
                <w:szCs w:val="21"/>
              </w:rPr>
              <w:t>（8）如非法定代表人或企业负责人参加，则须同时提交法定代表人或企业负责人的授权委托书及其被授权人身份证（正反面）（详细见报价文件格式）；</w:t>
            </w:r>
          </w:p>
          <w:p w14:paraId="7372A3A4">
            <w:pPr>
              <w:pStyle w:val="5"/>
              <w:spacing w:line="360" w:lineRule="auto"/>
            </w:pPr>
            <w:r>
              <w:rPr>
                <w:rFonts w:hint="eastAsia"/>
                <w:szCs w:val="21"/>
              </w:rPr>
              <w:t>（9）资格其他要求</w:t>
            </w:r>
          </w:p>
          <w:p w14:paraId="645A9074">
            <w:pPr>
              <w:autoSpaceDE w:val="0"/>
              <w:autoSpaceDN w:val="0"/>
              <w:adjustRightInd w:val="0"/>
              <w:spacing w:line="440" w:lineRule="exact"/>
              <w:ind w:firstLine="422" w:firstLineChars="200"/>
              <w:outlineLvl w:val="2"/>
              <w:rPr>
                <w:szCs w:val="21"/>
              </w:rPr>
            </w:pPr>
            <w:r>
              <w:rPr>
                <w:rFonts w:hint="eastAsia"/>
                <w:b/>
                <w:bCs/>
                <w:szCs w:val="21"/>
              </w:rPr>
              <w:t>（10）采购需求响应相关材料，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14:paraId="174E9D8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6F332BC">
            <w:pPr>
              <w:spacing w:line="440" w:lineRule="exact"/>
              <w:jc w:val="center"/>
              <w:rPr>
                <w:b/>
                <w:szCs w:val="21"/>
              </w:rPr>
            </w:pPr>
            <w:r>
              <w:rPr>
                <w:rFonts w:hint="eastAsia"/>
                <w:b/>
                <w:szCs w:val="21"/>
              </w:rPr>
              <w:t>报名方式</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41297A4">
            <w:pPr>
              <w:autoSpaceDE w:val="0"/>
              <w:autoSpaceDN w:val="0"/>
              <w:adjustRightInd w:val="0"/>
              <w:spacing w:line="440" w:lineRule="exact"/>
              <w:outlineLvl w:val="2"/>
              <w:rPr>
                <w:szCs w:val="21"/>
              </w:rPr>
            </w:pPr>
            <w:r>
              <w:rPr>
                <w:rFonts w:hint="eastAsia"/>
                <w:szCs w:val="21"/>
              </w:rPr>
              <w:t>（1）本项目的竞价公告及相关信息在相关媒体【广州市国科招标代理有限公司网站（www.gzgkbidding.com）和智采平台（http://gzgk.365bidding.com/）】上公布，并视为有效送达。</w:t>
            </w:r>
          </w:p>
          <w:p w14:paraId="47612B2B">
            <w:pPr>
              <w:autoSpaceDE w:val="0"/>
              <w:autoSpaceDN w:val="0"/>
              <w:adjustRightInd w:val="0"/>
              <w:spacing w:line="440" w:lineRule="exact"/>
              <w:outlineLvl w:val="2"/>
              <w:rPr>
                <w:b/>
                <w:bCs/>
                <w:szCs w:val="21"/>
              </w:rPr>
            </w:pPr>
            <w:r>
              <w:rPr>
                <w:rFonts w:hint="eastAsia"/>
                <w:szCs w:val="21"/>
              </w:rPr>
              <w:t>（2）本项目采用“智采平台”（</w:t>
            </w:r>
            <w:r>
              <w:rPr>
                <w:rFonts w:hint="eastAsia" w:ascii="宋体" w:hAnsi="宋体" w:cs="宋体"/>
                <w:szCs w:val="21"/>
                <w:shd w:val="clear" w:color="auto" w:fill="FFFFFF"/>
              </w:rPr>
              <w:t>http://gzgk.365bidding.com/</w:t>
            </w:r>
            <w:r>
              <w:rPr>
                <w:rFonts w:hint="eastAsia"/>
                <w:szCs w:val="21"/>
              </w:rPr>
              <w:t>）接受供应商报名，供应商注册登录“智采平台”查询本项目后点击“项目管理”“寻找商机”搜索本项目。</w:t>
            </w:r>
          </w:p>
        </w:tc>
      </w:tr>
      <w:tr w14:paraId="7E8C858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893"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E2EA733">
            <w:pPr>
              <w:spacing w:line="440" w:lineRule="exact"/>
              <w:jc w:val="center"/>
              <w:rPr>
                <w:b/>
                <w:szCs w:val="21"/>
              </w:rPr>
            </w:pPr>
            <w:r>
              <w:rPr>
                <w:rFonts w:hint="eastAsia"/>
                <w:b/>
                <w:szCs w:val="21"/>
              </w:rPr>
              <w:t>报价要求</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30BCDAD">
            <w:pPr>
              <w:autoSpaceDE w:val="0"/>
              <w:autoSpaceDN w:val="0"/>
              <w:spacing w:line="360" w:lineRule="auto"/>
              <w:ind w:firstLine="420" w:firstLineChars="200"/>
              <w:contextualSpacing/>
              <w:outlineLvl w:val="2"/>
              <w:rPr>
                <w:szCs w:val="21"/>
              </w:rPr>
            </w:pPr>
            <w:r>
              <w:rPr>
                <w:rFonts w:hint="eastAsia"/>
                <w:szCs w:val="21"/>
              </w:rPr>
              <w:t>通过报名供应商应根据本公告要求，在规定的竞价时间内对采购项目进行报价，同时按本公告要求完整、真实、准确地填写并上传相应报价附件，符合要求的供应商</w:t>
            </w:r>
            <w:r>
              <w:rPr>
                <w:rFonts w:hint="eastAsia"/>
                <w:color w:val="auto"/>
                <w:szCs w:val="21"/>
              </w:rPr>
              <w:t>在2025年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26</w:t>
            </w:r>
            <w:r>
              <w:rPr>
                <w:rFonts w:hint="eastAsia"/>
                <w:color w:val="auto"/>
                <w:szCs w:val="21"/>
              </w:rPr>
              <w:t>日</w:t>
            </w:r>
            <w:r>
              <w:rPr>
                <w:rFonts w:hint="eastAsia"/>
                <w:color w:val="auto"/>
                <w:szCs w:val="21"/>
                <w:lang w:val="en-US" w:eastAsia="zh-CN"/>
              </w:rPr>
              <w:t>9</w:t>
            </w:r>
            <w:r>
              <w:rPr>
                <w:rFonts w:hint="eastAsia"/>
                <w:color w:val="auto"/>
                <w:szCs w:val="21"/>
              </w:rPr>
              <w:t>:</w:t>
            </w:r>
            <w:r>
              <w:rPr>
                <w:rFonts w:hint="eastAsia"/>
                <w:color w:val="auto"/>
                <w:szCs w:val="21"/>
                <w:lang w:val="en-US" w:eastAsia="zh-CN"/>
              </w:rPr>
              <w:t>0</w:t>
            </w:r>
            <w:r>
              <w:rPr>
                <w:rFonts w:hint="eastAsia"/>
                <w:color w:val="auto"/>
                <w:szCs w:val="21"/>
              </w:rPr>
              <w:t>0将以</w:t>
            </w:r>
            <w:r>
              <w:rPr>
                <w:rFonts w:hint="eastAsia"/>
                <w:szCs w:val="21"/>
              </w:rPr>
              <w:t>下报价文件材料加盖供应商单位公章后扫描上传至本项目智采平台系统。超时智采平台系统将自动关闭上传窗口。（报价时需要提供以下盖章资料，并对上传的竞价文件资料承担责任）</w:t>
            </w:r>
          </w:p>
          <w:p w14:paraId="6A0986C8">
            <w:pPr>
              <w:autoSpaceDE w:val="0"/>
              <w:autoSpaceDN w:val="0"/>
              <w:spacing w:line="360" w:lineRule="auto"/>
              <w:ind w:firstLine="422" w:firstLineChars="200"/>
              <w:contextualSpacing/>
              <w:outlineLvl w:val="2"/>
              <w:rPr>
                <w:b/>
                <w:bCs/>
                <w:szCs w:val="21"/>
              </w:rPr>
            </w:pPr>
            <w:r>
              <w:rPr>
                <w:rFonts w:hint="eastAsia"/>
                <w:b/>
                <w:bCs/>
                <w:szCs w:val="21"/>
              </w:rPr>
              <w:t>1.报价表。</w:t>
            </w:r>
          </w:p>
          <w:p w14:paraId="1C71EA38">
            <w:pPr>
              <w:autoSpaceDE w:val="0"/>
              <w:autoSpaceDN w:val="0"/>
              <w:spacing w:line="360" w:lineRule="auto"/>
              <w:ind w:firstLine="422" w:firstLineChars="200"/>
              <w:contextualSpacing/>
              <w:outlineLvl w:val="2"/>
              <w:rPr>
                <w:b/>
                <w:bCs/>
                <w:szCs w:val="21"/>
              </w:rPr>
            </w:pPr>
            <w:r>
              <w:rPr>
                <w:rFonts w:hint="eastAsia"/>
                <w:b/>
                <w:bCs/>
                <w:szCs w:val="21"/>
              </w:rPr>
              <w:t>2.报价文件盖章版扫描件。</w:t>
            </w:r>
          </w:p>
        </w:tc>
      </w:tr>
      <w:tr w14:paraId="060363E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4087" w:hRule="atLeast"/>
        </w:trPr>
        <w:tc>
          <w:tcPr>
            <w:tcW w:w="85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40FA9E">
            <w:pPr>
              <w:spacing w:line="440" w:lineRule="exact"/>
              <w:rPr>
                <w:b/>
                <w:szCs w:val="21"/>
              </w:rPr>
            </w:pPr>
            <w:r>
              <w:rPr>
                <w:rFonts w:hint="eastAsia"/>
                <w:b/>
                <w:szCs w:val="21"/>
              </w:rPr>
              <w:t>联系方式</w:t>
            </w:r>
          </w:p>
        </w:tc>
        <w:tc>
          <w:tcPr>
            <w:tcW w:w="414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D0D7C3">
            <w:pPr>
              <w:autoSpaceDE w:val="0"/>
              <w:autoSpaceDN w:val="0"/>
              <w:adjustRightInd w:val="0"/>
              <w:spacing w:line="440" w:lineRule="exact"/>
              <w:outlineLvl w:val="2"/>
              <w:rPr>
                <w:szCs w:val="21"/>
              </w:rPr>
            </w:pPr>
            <w:r>
              <w:rPr>
                <w:rFonts w:hint="eastAsia"/>
                <w:szCs w:val="21"/>
              </w:rPr>
              <w:t xml:space="preserve">1.采购单位： </w:t>
            </w:r>
          </w:p>
          <w:p w14:paraId="3BCF38E5">
            <w:pPr>
              <w:autoSpaceDE w:val="0"/>
              <w:autoSpaceDN w:val="0"/>
              <w:adjustRightInd w:val="0"/>
              <w:spacing w:line="440" w:lineRule="exact"/>
              <w:outlineLvl w:val="2"/>
              <w:rPr>
                <w:szCs w:val="21"/>
              </w:rPr>
            </w:pPr>
            <w:r>
              <w:rPr>
                <w:rFonts w:hint="eastAsia"/>
                <w:szCs w:val="21"/>
              </w:rPr>
              <w:t>名称：广东省监狱中心医院</w:t>
            </w:r>
          </w:p>
          <w:p w14:paraId="370A045D">
            <w:pPr>
              <w:autoSpaceDE w:val="0"/>
              <w:autoSpaceDN w:val="0"/>
              <w:adjustRightInd w:val="0"/>
              <w:spacing w:line="440" w:lineRule="exact"/>
              <w:outlineLvl w:val="2"/>
              <w:rPr>
                <w:szCs w:val="21"/>
              </w:rPr>
            </w:pPr>
            <w:r>
              <w:rPr>
                <w:rFonts w:hint="eastAsia"/>
                <w:szCs w:val="21"/>
              </w:rPr>
              <w:t>地址：广州市白云区石井石潭西路88号</w:t>
            </w:r>
          </w:p>
          <w:p w14:paraId="0BE47124">
            <w:pPr>
              <w:autoSpaceDE w:val="0"/>
              <w:autoSpaceDN w:val="0"/>
              <w:adjustRightInd w:val="0"/>
              <w:spacing w:line="440" w:lineRule="exact"/>
              <w:outlineLvl w:val="2"/>
              <w:rPr>
                <w:szCs w:val="21"/>
              </w:rPr>
            </w:pPr>
            <w:r>
              <w:rPr>
                <w:rFonts w:hint="eastAsia"/>
                <w:szCs w:val="21"/>
              </w:rPr>
              <w:t>联系人：叶小姐</w:t>
            </w:r>
          </w:p>
          <w:p w14:paraId="292ADBCE">
            <w:pPr>
              <w:autoSpaceDE w:val="0"/>
              <w:autoSpaceDN w:val="0"/>
              <w:adjustRightInd w:val="0"/>
              <w:spacing w:line="440" w:lineRule="exact"/>
              <w:outlineLvl w:val="2"/>
              <w:rPr>
                <w:szCs w:val="21"/>
              </w:rPr>
            </w:pPr>
            <w:r>
              <w:rPr>
                <w:rFonts w:hint="eastAsia"/>
                <w:szCs w:val="21"/>
              </w:rPr>
              <w:t>联系方式：</w:t>
            </w:r>
            <w:r>
              <w:rPr>
                <w:szCs w:val="21"/>
              </w:rPr>
              <w:t>020-86417983</w:t>
            </w:r>
          </w:p>
          <w:p w14:paraId="7E837845">
            <w:pPr>
              <w:numPr>
                <w:ilvl w:val="0"/>
                <w:numId w:val="1"/>
              </w:numPr>
              <w:autoSpaceDE w:val="0"/>
              <w:autoSpaceDN w:val="0"/>
              <w:adjustRightInd w:val="0"/>
              <w:spacing w:line="440" w:lineRule="exact"/>
              <w:outlineLvl w:val="2"/>
              <w:rPr>
                <w:szCs w:val="21"/>
              </w:rPr>
            </w:pPr>
            <w:r>
              <w:rPr>
                <w:rFonts w:hint="eastAsia"/>
                <w:szCs w:val="21"/>
              </w:rPr>
              <w:t>代理机构：</w:t>
            </w:r>
          </w:p>
          <w:p w14:paraId="1F53DBEE">
            <w:pPr>
              <w:autoSpaceDE w:val="0"/>
              <w:autoSpaceDN w:val="0"/>
              <w:adjustRightInd w:val="0"/>
              <w:spacing w:line="440" w:lineRule="exact"/>
              <w:outlineLvl w:val="2"/>
              <w:rPr>
                <w:szCs w:val="21"/>
              </w:rPr>
            </w:pPr>
            <w:r>
              <w:rPr>
                <w:rFonts w:hint="eastAsia"/>
                <w:szCs w:val="21"/>
              </w:rPr>
              <w:t>名称：广州市国科招标代理有限公司</w:t>
            </w:r>
          </w:p>
          <w:p w14:paraId="7DF1076D">
            <w:pPr>
              <w:pStyle w:val="62"/>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14:paraId="12A9837D">
            <w:pPr>
              <w:pStyle w:val="5"/>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14:paraId="4C8375EF">
            <w:pPr>
              <w:pStyle w:val="5"/>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14:paraId="24A3EC5C">
      <w:pPr>
        <w:shd w:val="clear" w:color="auto" w:fill="FFFFFF"/>
        <w:spacing w:line="420" w:lineRule="atLeast"/>
        <w:jc w:val="right"/>
        <w:rPr>
          <w:szCs w:val="21"/>
        </w:rPr>
      </w:pPr>
      <w:r>
        <w:rPr>
          <w:rFonts w:hint="eastAsia"/>
          <w:szCs w:val="21"/>
        </w:rPr>
        <w:t xml:space="preserve"> 广州市国科招标代理有限公司</w:t>
      </w:r>
    </w:p>
    <w:p w14:paraId="6EBAA2F3">
      <w:pPr>
        <w:jc w:val="right"/>
        <w:rPr>
          <w:color w:val="auto"/>
        </w:rPr>
      </w:pPr>
      <w:r>
        <w:rPr>
          <w:rFonts w:hint="eastAsia"/>
          <w:color w:val="auto"/>
          <w:szCs w:val="21"/>
        </w:rPr>
        <w:t>202</w:t>
      </w:r>
      <w:r>
        <w:rPr>
          <w:rFonts w:hint="eastAsia"/>
          <w:color w:val="auto"/>
          <w:szCs w:val="21"/>
          <w:lang w:val="en-US" w:eastAsia="zh-CN"/>
        </w:rPr>
        <w:t>5</w:t>
      </w:r>
      <w:r>
        <w:rPr>
          <w:rFonts w:hint="eastAsia"/>
          <w:color w:val="auto"/>
          <w:szCs w:val="21"/>
        </w:rPr>
        <w:t>年</w:t>
      </w:r>
      <w:r>
        <w:rPr>
          <w:rFonts w:hint="eastAsia"/>
          <w:color w:val="auto"/>
          <w:szCs w:val="21"/>
          <w:lang w:val="en-US" w:eastAsia="zh-CN"/>
        </w:rPr>
        <w:t>2</w:t>
      </w:r>
      <w:r>
        <w:rPr>
          <w:rFonts w:hint="eastAsia"/>
          <w:color w:val="auto"/>
          <w:szCs w:val="21"/>
        </w:rPr>
        <w:t>月</w:t>
      </w:r>
      <w:r>
        <w:rPr>
          <w:rFonts w:hint="eastAsia"/>
          <w:color w:val="auto"/>
          <w:szCs w:val="21"/>
          <w:lang w:val="en-US" w:eastAsia="zh-CN"/>
        </w:rPr>
        <w:t>12</w:t>
      </w:r>
      <w:r>
        <w:rPr>
          <w:rFonts w:hint="eastAsia"/>
          <w:color w:val="auto"/>
          <w:szCs w:val="21"/>
        </w:rPr>
        <w:t>日</w:t>
      </w:r>
    </w:p>
    <w:p w14:paraId="5CBA7930"/>
    <w:p w14:paraId="2BB8529B">
      <w:pPr>
        <w:autoSpaceDE w:val="0"/>
        <w:autoSpaceDN w:val="0"/>
        <w:adjustRightInd w:val="0"/>
        <w:rPr>
          <w:rFonts w:ascii="Cambria" w:hAnsi="Cambria"/>
          <w:b/>
          <w:bCs/>
          <w:sz w:val="48"/>
          <w:szCs w:val="48"/>
        </w:rPr>
      </w:pPr>
    </w:p>
    <w:p w14:paraId="4C969D9C">
      <w:pPr>
        <w:autoSpaceDE w:val="0"/>
        <w:autoSpaceDN w:val="0"/>
        <w:adjustRightInd w:val="0"/>
        <w:rPr>
          <w:rFonts w:ascii="Cambria" w:hAnsi="Cambria"/>
          <w:b/>
          <w:bCs/>
          <w:sz w:val="48"/>
          <w:szCs w:val="48"/>
        </w:rPr>
      </w:pPr>
    </w:p>
    <w:p w14:paraId="45C9B349">
      <w:pPr>
        <w:autoSpaceDE w:val="0"/>
        <w:autoSpaceDN w:val="0"/>
        <w:adjustRightInd w:val="0"/>
        <w:rPr>
          <w:rFonts w:ascii="Cambria" w:hAnsi="Cambria"/>
          <w:b/>
          <w:bCs/>
          <w:sz w:val="48"/>
          <w:szCs w:val="48"/>
        </w:rPr>
      </w:pPr>
    </w:p>
    <w:p w14:paraId="3D525C2C">
      <w:pPr>
        <w:autoSpaceDE w:val="0"/>
        <w:autoSpaceDN w:val="0"/>
        <w:adjustRightInd w:val="0"/>
        <w:rPr>
          <w:rFonts w:ascii="Cambria" w:hAnsi="Cambria"/>
          <w:b/>
          <w:bCs/>
          <w:sz w:val="48"/>
          <w:szCs w:val="48"/>
        </w:rPr>
      </w:pPr>
    </w:p>
    <w:p w14:paraId="07E8AE3D">
      <w:pPr>
        <w:autoSpaceDE w:val="0"/>
        <w:autoSpaceDN w:val="0"/>
        <w:adjustRightInd w:val="0"/>
        <w:rPr>
          <w:rFonts w:ascii="Cambria" w:hAnsi="Cambria"/>
          <w:b/>
          <w:bCs/>
          <w:sz w:val="48"/>
          <w:szCs w:val="48"/>
        </w:rPr>
      </w:pPr>
    </w:p>
    <w:p w14:paraId="5229F393">
      <w:pPr>
        <w:autoSpaceDE w:val="0"/>
        <w:autoSpaceDN w:val="0"/>
        <w:adjustRightInd w:val="0"/>
        <w:rPr>
          <w:rFonts w:ascii="Cambria" w:hAnsi="Cambria"/>
          <w:b/>
          <w:bCs/>
          <w:sz w:val="48"/>
          <w:szCs w:val="48"/>
        </w:rPr>
      </w:pPr>
    </w:p>
    <w:p w14:paraId="3AF77C56">
      <w:pPr>
        <w:autoSpaceDE w:val="0"/>
        <w:autoSpaceDN w:val="0"/>
        <w:adjustRightInd w:val="0"/>
        <w:rPr>
          <w:rFonts w:ascii="Cambria" w:hAnsi="Cambria"/>
          <w:b/>
          <w:bCs/>
          <w:sz w:val="48"/>
          <w:szCs w:val="48"/>
        </w:rPr>
      </w:pPr>
    </w:p>
    <w:p w14:paraId="63548A2F">
      <w:pPr>
        <w:autoSpaceDE w:val="0"/>
        <w:autoSpaceDN w:val="0"/>
        <w:adjustRightInd w:val="0"/>
        <w:rPr>
          <w:rFonts w:ascii="Cambria" w:hAnsi="Cambria"/>
          <w:b/>
          <w:bCs/>
          <w:sz w:val="48"/>
          <w:szCs w:val="48"/>
        </w:rPr>
      </w:pPr>
    </w:p>
    <w:p w14:paraId="7064C41E">
      <w:pPr>
        <w:autoSpaceDE w:val="0"/>
        <w:autoSpaceDN w:val="0"/>
        <w:adjustRightInd w:val="0"/>
        <w:rPr>
          <w:rFonts w:ascii="Cambria" w:hAnsi="Cambria"/>
          <w:b/>
          <w:bCs/>
          <w:sz w:val="48"/>
          <w:szCs w:val="48"/>
        </w:rPr>
      </w:pPr>
    </w:p>
    <w:p w14:paraId="38A17E27">
      <w:pPr>
        <w:autoSpaceDE w:val="0"/>
        <w:autoSpaceDN w:val="0"/>
        <w:adjustRightInd w:val="0"/>
        <w:jc w:val="center"/>
        <w:rPr>
          <w:rFonts w:ascii="Cambria" w:hAnsi="Cambria"/>
          <w:b/>
          <w:bCs/>
          <w:sz w:val="48"/>
          <w:szCs w:val="48"/>
        </w:rPr>
      </w:pPr>
    </w:p>
    <w:p w14:paraId="6302BF56">
      <w:pPr>
        <w:autoSpaceDE w:val="0"/>
        <w:autoSpaceDN w:val="0"/>
        <w:adjustRightInd w:val="0"/>
        <w:jc w:val="center"/>
        <w:rPr>
          <w:rFonts w:ascii="Cambria" w:hAnsi="Cambria"/>
          <w:b/>
          <w:bCs/>
          <w:sz w:val="48"/>
          <w:szCs w:val="48"/>
        </w:rPr>
      </w:pPr>
    </w:p>
    <w:p w14:paraId="5D9BE50A">
      <w:pPr>
        <w:autoSpaceDE w:val="0"/>
        <w:autoSpaceDN w:val="0"/>
        <w:adjustRightInd w:val="0"/>
        <w:jc w:val="center"/>
        <w:rPr>
          <w:rFonts w:ascii="Cambria" w:hAnsi="Cambria"/>
          <w:b/>
          <w:bCs/>
          <w:sz w:val="48"/>
          <w:szCs w:val="48"/>
        </w:rPr>
      </w:pPr>
    </w:p>
    <w:p w14:paraId="0F60AE77">
      <w:pPr>
        <w:autoSpaceDE w:val="0"/>
        <w:autoSpaceDN w:val="0"/>
        <w:adjustRightInd w:val="0"/>
        <w:jc w:val="center"/>
        <w:rPr>
          <w:rFonts w:ascii="Cambria" w:hAnsi="Cambria"/>
          <w:b/>
          <w:bCs/>
          <w:sz w:val="48"/>
          <w:szCs w:val="48"/>
        </w:rPr>
      </w:pPr>
    </w:p>
    <w:p w14:paraId="01DE82F6">
      <w:pPr>
        <w:autoSpaceDE w:val="0"/>
        <w:autoSpaceDN w:val="0"/>
        <w:adjustRightInd w:val="0"/>
        <w:jc w:val="center"/>
        <w:rPr>
          <w:rFonts w:ascii="Cambria" w:hAnsi="Cambria"/>
          <w:b/>
          <w:bCs/>
          <w:sz w:val="48"/>
          <w:szCs w:val="48"/>
        </w:rPr>
      </w:pPr>
    </w:p>
    <w:p w14:paraId="1387965A">
      <w:pPr>
        <w:pStyle w:val="2"/>
        <w:jc w:val="center"/>
      </w:pPr>
      <w:bookmarkStart w:id="2" w:name="_Toc27889"/>
      <w:r>
        <w:rPr>
          <w:rFonts w:hint="eastAsia"/>
        </w:rPr>
        <w:t>第二章 采购需求</w:t>
      </w:r>
      <w:bookmarkEnd w:id="2"/>
    </w:p>
    <w:p w14:paraId="4376A121">
      <w:pPr>
        <w:autoSpaceDE w:val="0"/>
        <w:autoSpaceDN w:val="0"/>
        <w:adjustRightInd w:val="0"/>
        <w:rPr>
          <w:rFonts w:ascii="Cambria" w:hAnsi="Cambria"/>
          <w:b/>
          <w:bCs/>
          <w:sz w:val="48"/>
          <w:szCs w:val="48"/>
        </w:rPr>
      </w:pPr>
    </w:p>
    <w:p w14:paraId="33BEE6ED">
      <w:pPr>
        <w:autoSpaceDE w:val="0"/>
        <w:autoSpaceDN w:val="0"/>
        <w:adjustRightInd w:val="0"/>
        <w:rPr>
          <w:rFonts w:ascii="Cambria" w:hAnsi="Cambria"/>
          <w:b/>
          <w:bCs/>
          <w:sz w:val="48"/>
          <w:szCs w:val="48"/>
        </w:rPr>
      </w:pPr>
    </w:p>
    <w:p w14:paraId="5A9AEE26">
      <w:pPr>
        <w:autoSpaceDE w:val="0"/>
        <w:autoSpaceDN w:val="0"/>
        <w:adjustRightInd w:val="0"/>
        <w:rPr>
          <w:rFonts w:ascii="Cambria" w:hAnsi="Cambria"/>
          <w:b/>
          <w:bCs/>
          <w:sz w:val="48"/>
          <w:szCs w:val="48"/>
        </w:rPr>
      </w:pPr>
    </w:p>
    <w:p w14:paraId="124F2BEF">
      <w:pPr>
        <w:autoSpaceDE w:val="0"/>
        <w:autoSpaceDN w:val="0"/>
        <w:adjustRightInd w:val="0"/>
        <w:rPr>
          <w:rFonts w:ascii="Cambria" w:hAnsi="Cambria"/>
          <w:b/>
          <w:bCs/>
          <w:sz w:val="48"/>
          <w:szCs w:val="48"/>
        </w:rPr>
      </w:pPr>
    </w:p>
    <w:p w14:paraId="26B5E485">
      <w:pPr>
        <w:autoSpaceDE w:val="0"/>
        <w:autoSpaceDN w:val="0"/>
        <w:adjustRightInd w:val="0"/>
        <w:rPr>
          <w:rFonts w:ascii="Cambria" w:hAnsi="Cambria"/>
          <w:b/>
          <w:bCs/>
          <w:sz w:val="48"/>
          <w:szCs w:val="48"/>
        </w:rPr>
      </w:pPr>
    </w:p>
    <w:p w14:paraId="26165AAA">
      <w:pPr>
        <w:autoSpaceDE w:val="0"/>
        <w:autoSpaceDN w:val="0"/>
        <w:adjustRightInd w:val="0"/>
        <w:rPr>
          <w:rFonts w:ascii="Cambria" w:hAnsi="Cambria"/>
          <w:b/>
          <w:bCs/>
          <w:sz w:val="48"/>
          <w:szCs w:val="48"/>
        </w:rPr>
      </w:pPr>
    </w:p>
    <w:p w14:paraId="2608ABD1">
      <w:pPr>
        <w:autoSpaceDE w:val="0"/>
        <w:autoSpaceDN w:val="0"/>
        <w:adjustRightInd w:val="0"/>
        <w:rPr>
          <w:rFonts w:ascii="Cambria" w:hAnsi="Cambria"/>
          <w:b/>
          <w:bCs/>
          <w:sz w:val="48"/>
          <w:szCs w:val="48"/>
        </w:rPr>
      </w:pPr>
    </w:p>
    <w:p w14:paraId="07345D98">
      <w:pPr>
        <w:autoSpaceDE w:val="0"/>
        <w:autoSpaceDN w:val="0"/>
        <w:adjustRightInd w:val="0"/>
        <w:rPr>
          <w:rFonts w:ascii="Cambria" w:hAnsi="Cambria"/>
          <w:b/>
          <w:bCs/>
          <w:sz w:val="48"/>
          <w:szCs w:val="48"/>
        </w:rPr>
      </w:pPr>
    </w:p>
    <w:p w14:paraId="583F2D45">
      <w:pPr>
        <w:autoSpaceDE w:val="0"/>
        <w:autoSpaceDN w:val="0"/>
        <w:adjustRightInd w:val="0"/>
        <w:rPr>
          <w:rFonts w:ascii="Cambria" w:hAnsi="Cambria"/>
          <w:b/>
          <w:bCs/>
          <w:sz w:val="48"/>
          <w:szCs w:val="48"/>
        </w:rPr>
      </w:pPr>
    </w:p>
    <w:p w14:paraId="1888B9BA">
      <w:pPr>
        <w:autoSpaceDE w:val="0"/>
        <w:autoSpaceDN w:val="0"/>
        <w:adjustRightInd w:val="0"/>
        <w:rPr>
          <w:rFonts w:ascii="Cambria" w:hAnsi="Cambria"/>
          <w:b/>
          <w:bCs/>
          <w:sz w:val="48"/>
          <w:szCs w:val="48"/>
        </w:rPr>
      </w:pPr>
    </w:p>
    <w:p w14:paraId="64DA53D4">
      <w:pPr>
        <w:autoSpaceDE w:val="0"/>
        <w:autoSpaceDN w:val="0"/>
        <w:adjustRightInd w:val="0"/>
        <w:rPr>
          <w:rFonts w:ascii="Cambria" w:hAnsi="Cambria"/>
          <w:b/>
          <w:bCs/>
          <w:sz w:val="48"/>
          <w:szCs w:val="48"/>
        </w:rPr>
      </w:pPr>
    </w:p>
    <w:p w14:paraId="450329FC">
      <w:pPr>
        <w:spacing w:before="156" w:beforeLines="50" w:after="156" w:afterLines="50" w:line="360" w:lineRule="auto"/>
        <w:jc w:val="center"/>
        <w:rPr>
          <w:rFonts w:hint="eastAsia"/>
          <w:b/>
          <w:bCs/>
          <w:sz w:val="30"/>
          <w:szCs w:val="30"/>
        </w:rPr>
      </w:pPr>
      <w:r>
        <w:rPr>
          <w:rFonts w:hint="eastAsia"/>
          <w:b/>
          <w:bCs/>
          <w:sz w:val="30"/>
          <w:szCs w:val="30"/>
        </w:rPr>
        <w:t xml:space="preserve"> </w:t>
      </w:r>
    </w:p>
    <w:p w14:paraId="72A8759B">
      <w:pPr>
        <w:rPr>
          <w:rFonts w:hint="eastAsia"/>
          <w:b/>
          <w:bCs/>
          <w:sz w:val="30"/>
          <w:szCs w:val="30"/>
        </w:rPr>
      </w:pPr>
      <w:r>
        <w:rPr>
          <w:rFonts w:hint="eastAsia"/>
          <w:b/>
          <w:bCs/>
          <w:sz w:val="30"/>
          <w:szCs w:val="30"/>
        </w:rPr>
        <w:br w:type="page"/>
      </w:r>
    </w:p>
    <w:p w14:paraId="6F0E4D69">
      <w:pPr>
        <w:spacing w:before="156" w:beforeLines="50" w:after="156" w:afterLines="50" w:line="360" w:lineRule="auto"/>
        <w:jc w:val="center"/>
        <w:rPr>
          <w:color w:val="FF0000"/>
          <w:sz w:val="30"/>
          <w:szCs w:val="30"/>
        </w:rPr>
      </w:pPr>
      <w:r>
        <w:rPr>
          <w:rFonts w:hint="eastAsia"/>
          <w:b/>
          <w:bCs/>
          <w:sz w:val="30"/>
          <w:szCs w:val="30"/>
        </w:rPr>
        <w:t>采购需求</w:t>
      </w:r>
    </w:p>
    <w:p w14:paraId="062CF0AF">
      <w:pPr>
        <w:tabs>
          <w:tab w:val="left" w:pos="525"/>
          <w:tab w:val="left" w:pos="846"/>
        </w:tabs>
        <w:autoSpaceDE w:val="0"/>
        <w:autoSpaceDN w:val="0"/>
        <w:spacing w:before="156" w:beforeLines="50" w:line="360" w:lineRule="auto"/>
        <w:contextualSpacing/>
        <w:outlineLvl w:val="1"/>
        <w:rPr>
          <w:rFonts w:ascii="宋体" w:hAnsi="宋体" w:cs="宋体"/>
          <w:b/>
          <w:bCs/>
          <w:szCs w:val="21"/>
        </w:rPr>
      </w:pPr>
      <w:r>
        <w:rPr>
          <w:rFonts w:ascii="宋体" w:hAnsi="宋体" w:cs="宋体"/>
          <w:b/>
          <w:bCs/>
          <w:szCs w:val="21"/>
        </w:rPr>
        <w:t>一、</w:t>
      </w:r>
      <w:r>
        <w:rPr>
          <w:rFonts w:hint="eastAsia" w:ascii="宋体" w:hAnsi="宋体" w:cs="宋体"/>
          <w:b/>
          <w:bCs/>
          <w:szCs w:val="21"/>
        </w:rPr>
        <w:t>总体要求</w:t>
      </w:r>
    </w:p>
    <w:p w14:paraId="0AB6381B">
      <w:pPr>
        <w:numPr>
          <w:ilvl w:val="1"/>
          <w:numId w:val="0"/>
        </w:numPr>
        <w:spacing w:line="360" w:lineRule="auto"/>
        <w:ind w:left="424" w:hanging="424" w:hangingChars="202"/>
        <w:contextualSpacing/>
        <w:rPr>
          <w:rFonts w:ascii="宋体" w:hAnsi="宋体" w:cs="宋体"/>
          <w:szCs w:val="21"/>
        </w:rPr>
      </w:pPr>
      <w:r>
        <w:rPr>
          <w:rFonts w:hint="eastAsia" w:ascii="宋体" w:hAnsi="宋体"/>
          <w:szCs w:val="21"/>
        </w:rPr>
        <w:t>1、</w:t>
      </w:r>
      <w:r>
        <w:rPr>
          <w:rFonts w:hint="eastAsia" w:ascii="宋体" w:hAnsi="宋体" w:cs="宋体"/>
          <w:szCs w:val="21"/>
        </w:rPr>
        <w:t>响应供应商必须承诺提供厂商原装、全新的、符合国家及用户提出的有关质量标准的货物。</w:t>
      </w:r>
    </w:p>
    <w:p w14:paraId="45E5478C">
      <w:pPr>
        <w:numPr>
          <w:ilvl w:val="1"/>
          <w:numId w:val="0"/>
        </w:numPr>
        <w:spacing w:line="360" w:lineRule="auto"/>
        <w:ind w:left="424" w:hanging="424" w:hangingChars="202"/>
        <w:contextualSpacing/>
        <w:rPr>
          <w:rFonts w:ascii="宋体" w:hAnsi="宋体" w:cs="宋体"/>
          <w:szCs w:val="21"/>
        </w:rPr>
      </w:pPr>
      <w:r>
        <w:rPr>
          <w:rFonts w:hint="eastAsia" w:ascii="宋体" w:hAnsi="宋体"/>
          <w:szCs w:val="21"/>
        </w:rPr>
        <w:t>2、</w:t>
      </w:r>
      <w:r>
        <w:rPr>
          <w:rFonts w:hint="eastAsia" w:ascii="宋体" w:hAnsi="宋体" w:cs="宋体"/>
          <w:szCs w:val="21"/>
        </w:rPr>
        <w:t>响应供应商应对采购需求中的货物指标在响应详细内容中列出具体数值。如果响应供应商只注明“正偏离”或“无偏离”，将</w:t>
      </w:r>
      <w:r>
        <w:rPr>
          <w:rFonts w:hint="eastAsia" w:ascii="宋体" w:hAnsi="宋体" w:cs="宋体"/>
          <w:kern w:val="28"/>
        </w:rPr>
        <w:t>可能</w:t>
      </w:r>
      <w:r>
        <w:rPr>
          <w:rFonts w:hint="eastAsia" w:ascii="宋体" w:hAnsi="宋体" w:cs="宋体"/>
          <w:szCs w:val="21"/>
        </w:rPr>
        <w:t>被视为“负偏离”，从而可能导致严重影响评审结果。</w:t>
      </w:r>
    </w:p>
    <w:p w14:paraId="49F3DE7E">
      <w:pPr>
        <w:numPr>
          <w:ilvl w:val="1"/>
          <w:numId w:val="0"/>
        </w:numPr>
        <w:spacing w:line="360" w:lineRule="auto"/>
        <w:ind w:left="424" w:hanging="424" w:hangingChars="202"/>
        <w:contextualSpacing/>
        <w:rPr>
          <w:rFonts w:ascii="宋体" w:hAnsi="宋体" w:cs="宋体"/>
          <w:szCs w:val="21"/>
        </w:rPr>
      </w:pPr>
      <w:r>
        <w:rPr>
          <w:rFonts w:hint="eastAsia" w:ascii="宋体" w:hAnsi="宋体"/>
          <w:szCs w:val="21"/>
        </w:rPr>
        <w:t>3、</w:t>
      </w:r>
      <w:r>
        <w:rPr>
          <w:rFonts w:hint="eastAsia" w:ascii="宋体" w:hAnsi="宋体" w:cs="宋体"/>
          <w:szCs w:val="21"/>
        </w:rPr>
        <w:t>响应供应商所投产品除竞价文件中明确规定要求提供彩页或相应检测报告等证明材料以外，所有技术参数描述均以响应文件为准（竞价文件内厂家提供的技术参数描述与响应供应商的响应技术参数描述不一致时，以厂家提供的技术参数描述为准）。响应供应商须对所投产品技术参数的真实性承担法律责任。</w:t>
      </w:r>
    </w:p>
    <w:p w14:paraId="7876BE13">
      <w:pPr>
        <w:numPr>
          <w:ilvl w:val="1"/>
          <w:numId w:val="0"/>
        </w:numPr>
        <w:spacing w:line="360" w:lineRule="auto"/>
        <w:ind w:left="424" w:hanging="424" w:hangingChars="202"/>
        <w:contextualSpacing/>
        <w:rPr>
          <w:rFonts w:ascii="宋体" w:hAnsi="宋体" w:cs="宋体"/>
          <w:szCs w:val="21"/>
        </w:rPr>
      </w:pPr>
      <w:r>
        <w:rPr>
          <w:rFonts w:hint="eastAsia" w:ascii="宋体" w:hAnsi="宋体"/>
          <w:szCs w:val="21"/>
        </w:rPr>
        <w:t>4、</w:t>
      </w:r>
      <w:r>
        <w:rPr>
          <w:rFonts w:hint="eastAsia" w:ascii="宋体" w:hAnsi="宋体" w:cs="宋体"/>
          <w:szCs w:val="21"/>
        </w:rPr>
        <w:t>凡列入《中华人民共和国实施强制性产品认证的产品目录》的产品在验收时必须出具CCC认证证书复印件，并以在产品外部加施认证标志作为验收依据之一。</w:t>
      </w:r>
    </w:p>
    <w:p w14:paraId="5CB683B5">
      <w:pPr>
        <w:numPr>
          <w:ilvl w:val="1"/>
          <w:numId w:val="0"/>
        </w:numPr>
        <w:spacing w:line="360" w:lineRule="auto"/>
        <w:ind w:left="424" w:hanging="424" w:hangingChars="202"/>
        <w:contextualSpacing/>
        <w:rPr>
          <w:rFonts w:ascii="宋体" w:hAnsi="宋体" w:cs="宋体"/>
          <w:szCs w:val="21"/>
        </w:rPr>
      </w:pPr>
      <w:r>
        <w:rPr>
          <w:rFonts w:hint="eastAsia" w:ascii="宋体" w:hAnsi="宋体"/>
          <w:szCs w:val="21"/>
        </w:rPr>
        <w:t>5、</w:t>
      </w:r>
      <w:r>
        <w:rPr>
          <w:rFonts w:hint="eastAsia" w:ascii="宋体" w:hAnsi="宋体" w:cs="宋体"/>
          <w:szCs w:val="21"/>
        </w:rPr>
        <w:t>节能产品的优先采购和强制采购以财政部、发展改革委、生态环境部等部门公布的最新《节能产品政府采购品目清单》中所列产品及相关规定为准。如果涉及到政府强制采购节能，供应商必须在响应文件中明确列明具体产品的名称并提供国家确定的认证机构出具的处于有效期之内的节能产品认证证书。</w:t>
      </w:r>
    </w:p>
    <w:p w14:paraId="3F375563">
      <w:pPr>
        <w:numPr>
          <w:ilvl w:val="1"/>
          <w:numId w:val="0"/>
        </w:numPr>
        <w:spacing w:line="360" w:lineRule="auto"/>
        <w:ind w:left="424" w:hanging="424" w:hangingChars="202"/>
        <w:contextualSpacing/>
        <w:rPr>
          <w:rFonts w:ascii="宋体" w:hAnsi="宋体" w:cs="宋体"/>
          <w:szCs w:val="21"/>
        </w:rPr>
      </w:pPr>
      <w:r>
        <w:rPr>
          <w:rFonts w:hint="eastAsia" w:ascii="宋体" w:hAnsi="宋体"/>
          <w:szCs w:val="21"/>
        </w:rPr>
        <w:t>6、</w:t>
      </w:r>
      <w:r>
        <w:rPr>
          <w:rFonts w:hint="eastAsia" w:ascii="宋体" w:hAnsi="宋体" w:cs="宋体"/>
          <w:szCs w:val="21"/>
        </w:rPr>
        <w:t>环境标志产品的优先采购以财政部、发展改革委、生态环境部等部门公布的最新《环境标志产品政府采购品目清单》所列产品为准。响应产品涉及到环境标志产品的，供应商需在响应文件中明确列明具体产品的名称并提供国家确定的认证机构出具的处于有效期之内的环境标志产品认证证书。</w:t>
      </w:r>
    </w:p>
    <w:p w14:paraId="474FD1CC">
      <w:pPr>
        <w:numPr>
          <w:ilvl w:val="1"/>
          <w:numId w:val="0"/>
        </w:numPr>
        <w:spacing w:line="360" w:lineRule="auto"/>
        <w:ind w:left="424" w:hanging="424" w:hangingChars="202"/>
        <w:contextualSpacing/>
        <w:rPr>
          <w:rFonts w:ascii="宋体" w:hAnsi="宋体" w:cs="宋体"/>
          <w:szCs w:val="21"/>
        </w:rPr>
      </w:pPr>
      <w:r>
        <w:rPr>
          <w:rFonts w:hint="eastAsia" w:ascii="宋体" w:hAnsi="宋体"/>
          <w:szCs w:val="21"/>
        </w:rPr>
        <w:t>7、</w:t>
      </w:r>
      <w:r>
        <w:rPr>
          <w:rFonts w:hint="eastAsia" w:ascii="宋体" w:hAnsi="宋体" w:cs="宋体"/>
          <w:szCs w:val="21"/>
        </w:rPr>
        <w:t>响应供应商没有在响应文件中注明偏离（文字说明或在响应表注明）的参数、配置、条款视为被响应供应商完全接受。</w:t>
      </w:r>
    </w:p>
    <w:p w14:paraId="6100D054">
      <w:pPr>
        <w:numPr>
          <w:ilvl w:val="1"/>
          <w:numId w:val="0"/>
        </w:numPr>
        <w:spacing w:line="360" w:lineRule="auto"/>
        <w:ind w:left="424" w:hanging="424" w:hangingChars="202"/>
        <w:contextualSpacing/>
        <w:rPr>
          <w:rFonts w:ascii="宋体" w:hAnsi="宋体" w:cs="宋体"/>
          <w:szCs w:val="21"/>
        </w:rPr>
      </w:pPr>
      <w:r>
        <w:rPr>
          <w:rFonts w:hint="eastAsia" w:ascii="宋体" w:hAnsi="宋体"/>
          <w:szCs w:val="21"/>
        </w:rPr>
        <w:t>8、</w:t>
      </w:r>
      <w:r>
        <w:rPr>
          <w:rFonts w:hint="eastAsia" w:ascii="宋体" w:hAnsi="宋体" w:cs="宋体"/>
          <w:szCs w:val="21"/>
        </w:rPr>
        <w:t>响应供应商应保证，采购人在中华人民共和国使用该货物或货物的任何一部分时，免受第三方提出的侵犯其专利权、商标权、著作权或其它知识产权的起诉。</w:t>
      </w:r>
    </w:p>
    <w:p w14:paraId="3D18D1BD">
      <w:pPr>
        <w:numPr>
          <w:ilvl w:val="1"/>
          <w:numId w:val="0"/>
        </w:numPr>
        <w:spacing w:line="360" w:lineRule="auto"/>
        <w:ind w:left="426" w:hanging="426" w:hangingChars="202"/>
        <w:contextualSpacing/>
        <w:rPr>
          <w:rFonts w:ascii="宋体" w:hAnsi="宋体" w:cs="宋体"/>
          <w:b/>
          <w:bCs/>
          <w:szCs w:val="21"/>
        </w:rPr>
      </w:pPr>
      <w:r>
        <w:rPr>
          <w:rFonts w:hint="eastAsia" w:ascii="宋体" w:hAnsi="宋体"/>
          <w:b/>
          <w:bCs/>
          <w:szCs w:val="21"/>
        </w:rPr>
        <w:t>9、</w:t>
      </w:r>
      <w:r>
        <w:rPr>
          <w:rFonts w:hint="eastAsia" w:ascii="宋体" w:hAnsi="宋体"/>
          <w:b/>
          <w:bCs/>
          <w:kern w:val="28"/>
        </w:rPr>
        <w:t>不允许成交供应商转包、分包项目内容</w:t>
      </w:r>
      <w:r>
        <w:rPr>
          <w:rFonts w:hint="eastAsia" w:ascii="宋体" w:hAnsi="宋体" w:cs="宋体"/>
          <w:b/>
          <w:bCs/>
          <w:szCs w:val="21"/>
        </w:rPr>
        <w:t>。</w:t>
      </w:r>
    </w:p>
    <w:p w14:paraId="23111F90">
      <w:pPr>
        <w:numPr>
          <w:ilvl w:val="1"/>
          <w:numId w:val="0"/>
        </w:numPr>
        <w:spacing w:line="360" w:lineRule="auto"/>
        <w:ind w:left="424" w:hanging="424" w:hangingChars="202"/>
        <w:contextualSpacing/>
        <w:rPr>
          <w:rFonts w:ascii="宋体" w:hAnsi="宋体" w:cs="宋体"/>
          <w:szCs w:val="21"/>
          <w:lang w:val="zh-CN"/>
        </w:rPr>
      </w:pPr>
      <w:r>
        <w:rPr>
          <w:rFonts w:hint="eastAsia" w:ascii="宋体" w:hAnsi="宋体"/>
          <w:szCs w:val="21"/>
          <w:lang w:val="zh-CN"/>
        </w:rPr>
        <w:t>1</w:t>
      </w:r>
      <w:r>
        <w:rPr>
          <w:rFonts w:hint="eastAsia" w:ascii="宋体" w:hAnsi="宋体"/>
          <w:szCs w:val="21"/>
        </w:rPr>
        <w:t>0</w:t>
      </w:r>
      <w:r>
        <w:rPr>
          <w:rFonts w:hint="eastAsia" w:ascii="宋体" w:hAnsi="宋体"/>
          <w:szCs w:val="21"/>
          <w:lang w:val="zh-CN"/>
        </w:rPr>
        <w:t>、</w:t>
      </w:r>
      <w:r>
        <w:rPr>
          <w:rFonts w:hint="eastAsia" w:ascii="宋体" w:hAnsi="宋体" w:cs="宋体"/>
          <w:szCs w:val="21"/>
        </w:rPr>
        <w:t>响应供应商须在响应文件中提供针对本项目的所有货物内容清晰列出货物清单（含品牌、型号、制造商、质保期、产品单价）的明细表。</w:t>
      </w:r>
    </w:p>
    <w:p w14:paraId="2773ABBB">
      <w:pPr>
        <w:tabs>
          <w:tab w:val="left" w:pos="525"/>
          <w:tab w:val="left" w:pos="846"/>
        </w:tabs>
        <w:autoSpaceDE w:val="0"/>
        <w:autoSpaceDN w:val="0"/>
        <w:spacing w:before="156" w:beforeLines="50" w:line="360" w:lineRule="auto"/>
        <w:contextualSpacing/>
        <w:outlineLvl w:val="1"/>
        <w:rPr>
          <w:rFonts w:ascii="宋体" w:hAnsi="宋体" w:cs="宋体"/>
          <w:b/>
          <w:bCs/>
          <w:szCs w:val="21"/>
        </w:rPr>
      </w:pPr>
      <w:r>
        <w:rPr>
          <w:rFonts w:ascii="宋体" w:hAnsi="宋体" w:cs="宋体"/>
          <w:b/>
          <w:bCs/>
          <w:szCs w:val="21"/>
        </w:rPr>
        <w:t>二、</w:t>
      </w:r>
      <w:r>
        <w:rPr>
          <w:rFonts w:hint="eastAsia" w:ascii="宋体" w:hAnsi="宋体" w:cs="宋体"/>
          <w:b/>
          <w:bCs/>
          <w:szCs w:val="21"/>
        </w:rPr>
        <w:t>竞价报价说明</w:t>
      </w:r>
    </w:p>
    <w:p w14:paraId="3602D49C">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竞价</w:t>
      </w:r>
      <w:r>
        <w:rPr>
          <w:rFonts w:hint="eastAsia" w:ascii="宋体" w:hAnsi="宋体" w:cs="宋体"/>
          <w:szCs w:val="21"/>
          <w:lang w:val="zh-CN"/>
        </w:rPr>
        <w:t>报价包括但不限于：采购清单中所有货物的价款、运输费、装卸费（卸至用户指定地点）、保险费用、气瓶使用费、气瓶保养费、气瓶检测费（含首次检测费）、税费以及售后服务费等一切费用，采购人无须向成交供应商另外支付其余任何费用。</w:t>
      </w:r>
    </w:p>
    <w:p w14:paraId="73C7191E">
      <w:pPr>
        <w:spacing w:line="360" w:lineRule="auto"/>
        <w:ind w:firstLine="420" w:firstLineChars="200"/>
        <w:rPr>
          <w:rFonts w:ascii="宋体" w:hAnsi="宋体" w:cs="宋体"/>
          <w:szCs w:val="21"/>
          <w:lang w:val="zh-CN"/>
        </w:rPr>
      </w:pPr>
      <w:r>
        <w:rPr>
          <w:rFonts w:hint="eastAsia" w:ascii="宋体" w:hAnsi="宋体" w:cs="宋体"/>
          <w:szCs w:val="21"/>
          <w:lang w:val="zh-CN"/>
        </w:rPr>
        <w:t>2.报价方式：由供应商根据各种医用气体的最高单价限价报出统一折扣率。折扣率必须为固定报价（□□.□□％），不接受区间报价（例如□□.□□％～□□.□□％），在0.00%-100.00%范围内取值，若报价超出此范围则按无效</w:t>
      </w:r>
      <w:r>
        <w:rPr>
          <w:rFonts w:hint="eastAsia" w:ascii="宋体" w:hAnsi="宋体" w:cs="宋体"/>
          <w:szCs w:val="21"/>
        </w:rPr>
        <w:t>报价</w:t>
      </w:r>
      <w:r>
        <w:rPr>
          <w:rFonts w:hint="eastAsia" w:ascii="宋体" w:hAnsi="宋体" w:cs="宋体"/>
          <w:szCs w:val="21"/>
          <w:lang w:val="zh-CN"/>
        </w:rPr>
        <w:t>处理。</w:t>
      </w:r>
    </w:p>
    <w:p w14:paraId="32B80E48">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例如：某个货物单价最高限价为100元，报价拟优惠20元，实际结算单价为80元，那么折扣率则为：80÷100×100.00%=80.00%。供应商应结合本项目所有产品内容，综合考虑产品的实际结算单价。</w:t>
      </w:r>
    </w:p>
    <w:p w14:paraId="60B5367E">
      <w:pPr>
        <w:spacing w:line="360" w:lineRule="auto"/>
        <w:ind w:firstLine="420" w:firstLineChars="200"/>
        <w:rPr>
          <w:rFonts w:ascii="宋体" w:hAnsi="宋体" w:cs="宋体"/>
          <w:szCs w:val="21"/>
          <w:lang w:val="zh-CN"/>
        </w:rPr>
      </w:pPr>
      <w:r>
        <w:rPr>
          <w:rFonts w:hint="eastAsia" w:ascii="宋体" w:hAnsi="宋体" w:cs="宋体"/>
          <w:szCs w:val="21"/>
          <w:lang w:val="zh-CN"/>
        </w:rPr>
        <w:t>3.实际结算总价：∑（每种气体的单价最高限价×</w:t>
      </w:r>
      <w:r>
        <w:rPr>
          <w:rFonts w:hint="eastAsia" w:ascii="宋体" w:hAnsi="宋体" w:cs="宋体"/>
          <w:szCs w:val="21"/>
        </w:rPr>
        <w:t>成交</w:t>
      </w:r>
      <w:r>
        <w:rPr>
          <w:rFonts w:hint="eastAsia" w:ascii="宋体" w:hAnsi="宋体" w:cs="宋体"/>
          <w:szCs w:val="21"/>
          <w:lang w:val="zh-CN"/>
        </w:rPr>
        <w:t>折扣率×经采购人确认的实际供货量）</w:t>
      </w:r>
    </w:p>
    <w:p w14:paraId="1E1127C0">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4.本项目分批供货，供货资格有效期为：自合同签订之日起1年或采购人累计采购量达到项目预算金额458000元为止，以二者先到的为准。在供货资格有效期内因国家政策或不可抗力的因素导致采购人不能执行所采购货物时，本项目合同终止，采购人及采购代理机构不承担任何责任。</w:t>
      </w:r>
    </w:p>
    <w:p w14:paraId="5F4AED10">
      <w:pPr>
        <w:tabs>
          <w:tab w:val="left" w:pos="709"/>
        </w:tabs>
        <w:spacing w:line="360" w:lineRule="auto"/>
        <w:ind w:firstLine="420" w:firstLineChars="200"/>
        <w:rPr>
          <w:rFonts w:ascii="宋体" w:hAnsi="宋体" w:cs="宋体"/>
          <w:szCs w:val="21"/>
        </w:rPr>
      </w:pPr>
      <w:r>
        <w:rPr>
          <w:rFonts w:hint="eastAsia" w:ascii="宋体" w:hAnsi="宋体" w:cs="宋体"/>
          <w:szCs w:val="21"/>
        </w:rPr>
        <w:t>5.在供货期间，实际的货物采购数量、配送时间等根据采购人下达任务通知单为准，据实结算。</w:t>
      </w:r>
    </w:p>
    <w:p w14:paraId="4957106B">
      <w:pPr>
        <w:tabs>
          <w:tab w:val="left" w:pos="525"/>
          <w:tab w:val="left" w:pos="846"/>
        </w:tabs>
        <w:autoSpaceDE w:val="0"/>
        <w:autoSpaceDN w:val="0"/>
        <w:spacing w:before="156" w:beforeLines="50" w:line="360" w:lineRule="auto"/>
        <w:contextualSpacing/>
        <w:outlineLvl w:val="1"/>
        <w:rPr>
          <w:rFonts w:ascii="宋体" w:hAnsi="宋体" w:cs="宋体"/>
          <w:b/>
          <w:bCs/>
          <w:szCs w:val="21"/>
        </w:rPr>
      </w:pPr>
      <w:r>
        <w:rPr>
          <w:rFonts w:ascii="宋体" w:hAnsi="宋体" w:cs="宋体"/>
          <w:b/>
          <w:bCs/>
          <w:szCs w:val="21"/>
        </w:rPr>
        <w:t>三、</w:t>
      </w:r>
      <w:r>
        <w:rPr>
          <w:rFonts w:hint="eastAsia" w:ascii="宋体" w:hAnsi="宋体" w:cs="宋体"/>
          <w:b/>
          <w:bCs/>
          <w:szCs w:val="21"/>
        </w:rPr>
        <w:t>项目概况</w:t>
      </w:r>
    </w:p>
    <w:p w14:paraId="4A29BEBA">
      <w:pPr>
        <w:pStyle w:val="11"/>
        <w:tabs>
          <w:tab w:val="left" w:pos="540"/>
        </w:tabs>
        <w:adjustRightInd w:val="0"/>
        <w:snapToGrid w:val="0"/>
        <w:spacing w:line="440" w:lineRule="exact"/>
        <w:ind w:firstLine="420" w:firstLineChars="200"/>
        <w:rPr>
          <w:rFonts w:hAnsi="宋体" w:cs="宋体"/>
          <w:szCs w:val="21"/>
        </w:rPr>
      </w:pPr>
      <w:r>
        <w:rPr>
          <w:rFonts w:hint="eastAsia" w:hAnsi="宋体" w:cs="宋体"/>
          <w:szCs w:val="21"/>
        </w:rPr>
        <w:t>本项目拟选定一名供应商为采购人提供医用气体供应服务。成交供应商须负责医用气体的采购、运输、供应、技术指导等服务。</w:t>
      </w:r>
    </w:p>
    <w:p w14:paraId="610852D0">
      <w:pPr>
        <w:pStyle w:val="11"/>
        <w:numPr>
          <w:ilvl w:val="0"/>
          <w:numId w:val="2"/>
        </w:numPr>
        <w:tabs>
          <w:tab w:val="left" w:pos="540"/>
        </w:tabs>
        <w:adjustRightInd w:val="0"/>
        <w:snapToGrid w:val="0"/>
        <w:spacing w:line="440" w:lineRule="exact"/>
        <w:ind w:firstLine="420" w:firstLineChars="200"/>
        <w:rPr>
          <w:rFonts w:hAnsi="宋体" w:cs="宋体"/>
          <w:szCs w:val="21"/>
        </w:rPr>
      </w:pPr>
      <w:r>
        <w:rPr>
          <w:rFonts w:hint="eastAsia" w:hAnsi="宋体" w:cs="宋体"/>
          <w:szCs w:val="21"/>
        </w:rPr>
        <w:t>服务地点：广州市石井石潭西路88号或采购人指定地点。</w:t>
      </w:r>
    </w:p>
    <w:p w14:paraId="7FF2CCA6">
      <w:pPr>
        <w:pStyle w:val="11"/>
        <w:numPr>
          <w:ilvl w:val="0"/>
          <w:numId w:val="2"/>
        </w:numPr>
        <w:tabs>
          <w:tab w:val="left" w:pos="540"/>
        </w:tabs>
        <w:adjustRightInd w:val="0"/>
        <w:snapToGrid w:val="0"/>
        <w:spacing w:line="440" w:lineRule="exact"/>
        <w:ind w:firstLine="420" w:firstLineChars="200"/>
        <w:rPr>
          <w:rFonts w:hAnsi="宋体" w:cs="宋体"/>
          <w:szCs w:val="21"/>
        </w:rPr>
      </w:pPr>
      <w:r>
        <w:rPr>
          <w:rFonts w:hint="eastAsia" w:hAnsi="宋体" w:cs="宋体"/>
          <w:szCs w:val="21"/>
        </w:rPr>
        <w:t>服务期限：自合同签订之日起1年或采购人累计采购量达到项目预算金额458000元为止，以二者先到的为准。</w:t>
      </w:r>
    </w:p>
    <w:p w14:paraId="48FE7CE1">
      <w:pPr>
        <w:pStyle w:val="11"/>
        <w:numPr>
          <w:ilvl w:val="0"/>
          <w:numId w:val="2"/>
        </w:numPr>
        <w:tabs>
          <w:tab w:val="left" w:pos="540"/>
        </w:tabs>
        <w:adjustRightInd w:val="0"/>
        <w:snapToGrid w:val="0"/>
        <w:spacing w:line="440" w:lineRule="exact"/>
        <w:ind w:firstLine="420" w:firstLineChars="200"/>
        <w:rPr>
          <w:rFonts w:hAnsi="宋体" w:cs="宋体"/>
          <w:szCs w:val="21"/>
        </w:rPr>
      </w:pPr>
      <w:r>
        <w:rPr>
          <w:rFonts w:hint="eastAsia" w:hAnsi="宋体" w:cs="宋体"/>
          <w:szCs w:val="21"/>
        </w:rPr>
        <w:t>采购清单</w:t>
      </w:r>
    </w:p>
    <w:tbl>
      <w:tblPr>
        <w:tblStyle w:val="22"/>
        <w:tblW w:w="4998" w:type="pct"/>
        <w:tblInd w:w="0" w:type="dxa"/>
        <w:tblLayout w:type="autofit"/>
        <w:tblCellMar>
          <w:top w:w="0" w:type="dxa"/>
          <w:left w:w="0" w:type="dxa"/>
          <w:bottom w:w="0" w:type="dxa"/>
          <w:right w:w="0" w:type="dxa"/>
        </w:tblCellMar>
      </w:tblPr>
      <w:tblGrid>
        <w:gridCol w:w="2109"/>
        <w:gridCol w:w="3592"/>
        <w:gridCol w:w="915"/>
        <w:gridCol w:w="1584"/>
        <w:gridCol w:w="1572"/>
      </w:tblGrid>
      <w:tr w14:paraId="472C5972">
        <w:tblPrEx>
          <w:tblCellMar>
            <w:top w:w="0" w:type="dxa"/>
            <w:left w:w="0" w:type="dxa"/>
            <w:bottom w:w="0" w:type="dxa"/>
            <w:right w:w="0" w:type="dxa"/>
          </w:tblCellMar>
        </w:tblPrEx>
        <w:trPr>
          <w:trHeight w:val="397"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92A3">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医用气体名称</w:t>
            </w:r>
          </w:p>
        </w:tc>
        <w:tc>
          <w:tcPr>
            <w:tcW w:w="1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B35A8">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规格/参数</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36E1">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w:t>
            </w:r>
          </w:p>
        </w:tc>
        <w:tc>
          <w:tcPr>
            <w:tcW w:w="8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85840">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预估年用量</w:t>
            </w:r>
          </w:p>
        </w:tc>
        <w:tc>
          <w:tcPr>
            <w:tcW w:w="8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6E1A">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单价最高限价（元）</w:t>
            </w:r>
          </w:p>
        </w:tc>
      </w:tr>
      <w:tr w14:paraId="687768E8">
        <w:tblPrEx>
          <w:tblCellMar>
            <w:top w:w="0" w:type="dxa"/>
            <w:left w:w="0" w:type="dxa"/>
            <w:bottom w:w="0" w:type="dxa"/>
            <w:right w:w="0" w:type="dxa"/>
          </w:tblCellMar>
        </w:tblPrEx>
        <w:trPr>
          <w:trHeight w:val="597"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22592">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医用液氧</w:t>
            </w:r>
          </w:p>
        </w:tc>
        <w:tc>
          <w:tcPr>
            <w:tcW w:w="1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BEFB">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纯度≧99.5%，瓶装杜瓦罐</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1F03">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升</w:t>
            </w:r>
          </w:p>
        </w:tc>
        <w:tc>
          <w:tcPr>
            <w:tcW w:w="8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5C47">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kern w:val="0"/>
                <w:sz w:val="24"/>
              </w:rPr>
              <w:t>158900</w:t>
            </w:r>
          </w:p>
        </w:tc>
        <w:tc>
          <w:tcPr>
            <w:tcW w:w="8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02570">
            <w:pPr>
              <w:widowControl/>
              <w:jc w:val="center"/>
              <w:textAlignment w:val="center"/>
              <w:rPr>
                <w:rFonts w:cs="宋体" w:asciiTheme="minorEastAsia" w:hAnsiTheme="minorEastAsia" w:eastAsiaTheme="minorEastAsia"/>
                <w:kern w:val="0"/>
                <w:sz w:val="24"/>
              </w:rPr>
            </w:pPr>
            <w:r>
              <w:rPr>
                <w:rFonts w:hint="eastAsia" w:ascii="宋体" w:hAnsi="宋体" w:cs="宋体"/>
                <w:color w:val="000000"/>
                <w:kern w:val="0"/>
                <w:sz w:val="24"/>
                <w:lang w:bidi="ar"/>
              </w:rPr>
              <w:t xml:space="preserve">2.70 </w:t>
            </w:r>
          </w:p>
        </w:tc>
      </w:tr>
      <w:tr w14:paraId="1B8F0505">
        <w:tblPrEx>
          <w:tblCellMar>
            <w:top w:w="0" w:type="dxa"/>
            <w:left w:w="0" w:type="dxa"/>
            <w:bottom w:w="0" w:type="dxa"/>
            <w:right w:w="0" w:type="dxa"/>
          </w:tblCellMar>
        </w:tblPrEx>
        <w:trPr>
          <w:trHeight w:val="764"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7C11">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医用氧</w:t>
            </w:r>
          </w:p>
        </w:tc>
        <w:tc>
          <w:tcPr>
            <w:tcW w:w="1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951D">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纯度≧99.5%，钢瓶，</w:t>
            </w:r>
          </w:p>
          <w:p w14:paraId="60E5BA5E">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40L/瓶</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1BB9">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瓶</w:t>
            </w:r>
          </w:p>
        </w:tc>
        <w:tc>
          <w:tcPr>
            <w:tcW w:w="8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9BE36">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kern w:val="0"/>
                <w:sz w:val="24"/>
              </w:rPr>
              <w:t>61</w:t>
            </w:r>
          </w:p>
        </w:tc>
        <w:tc>
          <w:tcPr>
            <w:tcW w:w="8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141F">
            <w:pPr>
              <w:widowControl/>
              <w:jc w:val="center"/>
              <w:textAlignment w:val="center"/>
              <w:rPr>
                <w:rFonts w:cs="宋体" w:asciiTheme="minorEastAsia" w:hAnsiTheme="minorEastAsia" w:eastAsiaTheme="minorEastAsia"/>
                <w:kern w:val="0"/>
                <w:sz w:val="24"/>
              </w:rPr>
            </w:pPr>
            <w:r>
              <w:rPr>
                <w:rFonts w:hint="eastAsia" w:ascii="宋体" w:hAnsi="宋体" w:cs="宋体"/>
                <w:color w:val="000000"/>
                <w:kern w:val="0"/>
                <w:sz w:val="24"/>
                <w:lang w:bidi="ar"/>
              </w:rPr>
              <w:t xml:space="preserve">48.45 </w:t>
            </w:r>
          </w:p>
        </w:tc>
      </w:tr>
      <w:tr w14:paraId="3B805723">
        <w:tblPrEx>
          <w:tblCellMar>
            <w:top w:w="0" w:type="dxa"/>
            <w:left w:w="0" w:type="dxa"/>
            <w:bottom w:w="0" w:type="dxa"/>
            <w:right w:w="0" w:type="dxa"/>
          </w:tblCellMar>
        </w:tblPrEx>
        <w:trPr>
          <w:trHeight w:val="597"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7360">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高纯二氧化碳</w:t>
            </w:r>
          </w:p>
        </w:tc>
        <w:tc>
          <w:tcPr>
            <w:tcW w:w="1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D7794">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纯度99.</w:t>
            </w:r>
            <w:r>
              <w:rPr>
                <w:rFonts w:hint="eastAsia" w:cs="宋体" w:asciiTheme="minorEastAsia" w:hAnsiTheme="minorEastAsia" w:eastAsiaTheme="minorEastAsia"/>
                <w:kern w:val="0"/>
                <w:sz w:val="24"/>
                <w:highlight w:val="none"/>
              </w:rPr>
              <w:t>99</w:t>
            </w:r>
            <w:r>
              <w:rPr>
                <w:rFonts w:hint="eastAsia" w:cs="宋体" w:asciiTheme="minorEastAsia" w:hAnsiTheme="minorEastAsia" w:eastAsiaTheme="minorEastAsia"/>
                <w:kern w:val="0"/>
                <w:sz w:val="24"/>
                <w:highlight w:val="none"/>
                <w:lang w:val="en-US" w:eastAsia="zh-CN"/>
              </w:rPr>
              <w:t>9</w:t>
            </w:r>
            <w:r>
              <w:rPr>
                <w:rFonts w:hint="eastAsia" w:cs="宋体" w:asciiTheme="minorEastAsia" w:hAnsiTheme="minorEastAsia" w:eastAsiaTheme="minorEastAsia"/>
                <w:kern w:val="0"/>
                <w:sz w:val="24"/>
                <w:highlight w:val="none"/>
              </w:rPr>
              <w:t>%,40</w:t>
            </w:r>
            <w:r>
              <w:rPr>
                <w:rFonts w:hint="eastAsia" w:cs="宋体" w:asciiTheme="minorEastAsia" w:hAnsiTheme="minorEastAsia" w:eastAsiaTheme="minorEastAsia"/>
                <w:kern w:val="0"/>
                <w:sz w:val="24"/>
              </w:rPr>
              <w:t>L/瓶</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5555">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瓶</w:t>
            </w:r>
          </w:p>
        </w:tc>
        <w:tc>
          <w:tcPr>
            <w:tcW w:w="8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BCCB4">
            <w:pPr>
              <w:widowControl/>
              <w:spacing w:line="440" w:lineRule="exact"/>
              <w:jc w:val="center"/>
              <w:textAlignment w:val="center"/>
              <w:rPr>
                <w:rFonts w:cs="宋体" w:asciiTheme="minorEastAsia" w:hAnsiTheme="minorEastAsia"/>
                <w:kern w:val="0"/>
                <w:sz w:val="24"/>
              </w:rPr>
            </w:pPr>
            <w:r>
              <w:rPr>
                <w:rFonts w:hint="eastAsia" w:cs="宋体" w:asciiTheme="minorEastAsia" w:hAnsiTheme="minorEastAsia"/>
                <w:kern w:val="0"/>
                <w:sz w:val="24"/>
              </w:rPr>
              <w:t>30</w:t>
            </w:r>
          </w:p>
        </w:tc>
        <w:tc>
          <w:tcPr>
            <w:tcW w:w="8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75E75">
            <w:pPr>
              <w:widowControl/>
              <w:jc w:val="center"/>
              <w:textAlignment w:val="center"/>
              <w:rPr>
                <w:rFonts w:cs="宋体" w:asciiTheme="minorEastAsia" w:hAnsiTheme="minorEastAsia" w:eastAsiaTheme="minorEastAsia"/>
                <w:kern w:val="0"/>
                <w:sz w:val="24"/>
              </w:rPr>
            </w:pPr>
            <w:r>
              <w:rPr>
                <w:rFonts w:hint="eastAsia" w:ascii="宋体" w:hAnsi="宋体" w:cs="宋体"/>
                <w:color w:val="000000"/>
                <w:kern w:val="0"/>
                <w:sz w:val="24"/>
                <w:lang w:bidi="ar"/>
              </w:rPr>
              <w:t xml:space="preserve">828.88 </w:t>
            </w:r>
          </w:p>
        </w:tc>
      </w:tr>
      <w:tr w14:paraId="5C466876">
        <w:tblPrEx>
          <w:tblCellMar>
            <w:top w:w="0" w:type="dxa"/>
            <w:left w:w="0" w:type="dxa"/>
            <w:bottom w:w="0" w:type="dxa"/>
            <w:right w:w="0" w:type="dxa"/>
          </w:tblCellMar>
        </w:tblPrEx>
        <w:trPr>
          <w:trHeight w:val="637"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9067">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纯氩</w:t>
            </w:r>
          </w:p>
        </w:tc>
        <w:tc>
          <w:tcPr>
            <w:tcW w:w="1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8573">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纯度99.99%.150bar.40L/瓶</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3C1DC">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瓶</w:t>
            </w:r>
          </w:p>
        </w:tc>
        <w:tc>
          <w:tcPr>
            <w:tcW w:w="8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FC7E">
            <w:pPr>
              <w:widowControl/>
              <w:spacing w:line="44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kern w:val="0"/>
                <w:sz w:val="24"/>
              </w:rPr>
              <w:t>2</w:t>
            </w:r>
          </w:p>
        </w:tc>
        <w:tc>
          <w:tcPr>
            <w:tcW w:w="8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F498">
            <w:pPr>
              <w:widowControl/>
              <w:jc w:val="center"/>
              <w:textAlignment w:val="center"/>
              <w:rPr>
                <w:rFonts w:cs="宋体" w:asciiTheme="minorEastAsia" w:hAnsiTheme="minorEastAsia" w:eastAsiaTheme="minorEastAsia"/>
                <w:kern w:val="0"/>
                <w:sz w:val="24"/>
              </w:rPr>
            </w:pPr>
            <w:r>
              <w:rPr>
                <w:rFonts w:hint="eastAsia" w:ascii="宋体" w:hAnsi="宋体" w:cs="宋体"/>
                <w:color w:val="000000"/>
                <w:kern w:val="0"/>
                <w:sz w:val="24"/>
                <w:lang w:bidi="ar"/>
              </w:rPr>
              <w:t xml:space="preserve">138.46 </w:t>
            </w:r>
          </w:p>
        </w:tc>
      </w:tr>
    </w:tbl>
    <w:p w14:paraId="1681237B">
      <w:pPr>
        <w:pStyle w:val="11"/>
        <w:tabs>
          <w:tab w:val="left" w:pos="540"/>
        </w:tabs>
        <w:adjustRightInd w:val="0"/>
        <w:snapToGrid w:val="0"/>
        <w:spacing w:line="440" w:lineRule="exact"/>
        <w:rPr>
          <w:rFonts w:hAnsi="宋体" w:cs="宋体"/>
          <w:szCs w:val="21"/>
        </w:rPr>
      </w:pPr>
    </w:p>
    <w:p w14:paraId="3A81A7EC">
      <w:pPr>
        <w:spacing w:line="360" w:lineRule="auto"/>
        <w:ind w:firstLine="315" w:firstLineChars="150"/>
        <w:rPr>
          <w:rFonts w:ascii="宋体" w:hAnsi="宋体"/>
          <w:szCs w:val="21"/>
        </w:rPr>
      </w:pPr>
      <w:r>
        <w:rPr>
          <w:rFonts w:hint="eastAsia" w:ascii="宋体" w:hAnsi="宋体"/>
          <w:szCs w:val="21"/>
        </w:rPr>
        <w:t>注：</w:t>
      </w:r>
      <w:r>
        <w:rPr>
          <w:rFonts w:ascii="Calibri" w:hAnsi="Calibri" w:cs="Calibri"/>
          <w:szCs w:val="21"/>
        </w:rPr>
        <w:t>①</w:t>
      </w:r>
      <w:r>
        <w:rPr>
          <w:rFonts w:hint="eastAsia" w:ascii="宋体" w:hAnsi="宋体"/>
          <w:szCs w:val="21"/>
        </w:rPr>
        <w:t>以上产品以实际供应量供给，按月结算；采购预算仅作为预估值参考数据，以实际供应量分别乘以各单价结算为实际结算金额.</w:t>
      </w:r>
      <w:r>
        <w:rPr>
          <w:rFonts w:ascii="Calibri" w:hAnsi="Calibri" w:cs="Calibri"/>
          <w:szCs w:val="21"/>
        </w:rPr>
        <w:t>②</w:t>
      </w:r>
      <w:r>
        <w:rPr>
          <w:rFonts w:hint="eastAsia" w:cs="宋体" w:asciiTheme="minorEastAsia" w:hAnsiTheme="minorEastAsia" w:eastAsiaTheme="minorEastAsia"/>
          <w:kern w:val="0"/>
          <w:szCs w:val="21"/>
        </w:rPr>
        <w:t>医用液氧</w:t>
      </w:r>
      <w:r>
        <w:rPr>
          <w:rFonts w:hint="eastAsia" w:ascii="宋体" w:hAnsi="宋体"/>
          <w:szCs w:val="21"/>
        </w:rPr>
        <w:t>瓶装杜瓦罐具体供货规格以采购人确认为准。</w:t>
      </w:r>
    </w:p>
    <w:p w14:paraId="402445EA">
      <w:pPr>
        <w:rPr>
          <w:rFonts w:hint="eastAsia" w:ascii="宋体" w:hAnsi="宋体" w:cs="宋体"/>
          <w:b/>
          <w:bCs/>
          <w:szCs w:val="21"/>
        </w:rPr>
      </w:pPr>
      <w:r>
        <w:rPr>
          <w:rFonts w:hint="eastAsia" w:ascii="宋体" w:hAnsi="宋体" w:cs="宋体"/>
          <w:b/>
          <w:bCs/>
          <w:szCs w:val="21"/>
        </w:rPr>
        <w:br w:type="page"/>
      </w:r>
    </w:p>
    <w:p w14:paraId="57652BBF">
      <w:pPr>
        <w:rPr>
          <w:rFonts w:ascii="宋体" w:hAnsi="宋体" w:cs="宋体"/>
          <w:b/>
          <w:bCs/>
          <w:szCs w:val="21"/>
        </w:rPr>
      </w:pPr>
      <w:r>
        <w:rPr>
          <w:rFonts w:hint="eastAsia" w:ascii="宋体" w:hAnsi="宋体" w:cs="宋体"/>
          <w:b/>
          <w:bCs/>
          <w:szCs w:val="21"/>
        </w:rPr>
        <w:t>四、成交供应商要求</w:t>
      </w:r>
    </w:p>
    <w:p w14:paraId="0A397E68">
      <w:pPr>
        <w:pStyle w:val="11"/>
        <w:tabs>
          <w:tab w:val="left" w:pos="540"/>
        </w:tabs>
        <w:adjustRightInd w:val="0"/>
        <w:snapToGrid w:val="0"/>
        <w:spacing w:line="440" w:lineRule="exact"/>
        <w:ind w:left="420" w:leftChars="200"/>
        <w:rPr>
          <w:rFonts w:hAnsi="宋体" w:cs="宋体"/>
          <w:szCs w:val="21"/>
        </w:rPr>
      </w:pPr>
      <w:r>
        <w:rPr>
          <w:rFonts w:hint="eastAsia" w:hAnsi="宋体" w:cs="宋体"/>
          <w:szCs w:val="21"/>
        </w:rPr>
        <w:t>（一）成交供应商须具有独立承担民事责任的在中华人民共和国境内注册的法人，经营范围必须包含医用氧气、医用液氧等</w:t>
      </w:r>
      <w:r>
        <w:rPr>
          <w:rFonts w:hint="eastAsia" w:hAnsi="宋体" w:cs="宋体"/>
          <w:b/>
          <w:bCs/>
          <w:szCs w:val="21"/>
        </w:rPr>
        <w:t>（提供法人的营业执照等证明材料）</w:t>
      </w:r>
      <w:r>
        <w:rPr>
          <w:rFonts w:hint="eastAsia" w:hAnsi="宋体" w:cs="宋体"/>
          <w:szCs w:val="21"/>
        </w:rPr>
        <w:t>。</w:t>
      </w:r>
    </w:p>
    <w:p w14:paraId="64D2C833">
      <w:pPr>
        <w:pStyle w:val="11"/>
        <w:tabs>
          <w:tab w:val="left" w:pos="540"/>
        </w:tabs>
        <w:adjustRightInd w:val="0"/>
        <w:snapToGrid w:val="0"/>
        <w:spacing w:line="440" w:lineRule="exact"/>
        <w:ind w:left="420" w:leftChars="200"/>
        <w:rPr>
          <w:rFonts w:hAnsi="宋体" w:cs="宋体"/>
          <w:szCs w:val="21"/>
        </w:rPr>
      </w:pPr>
      <w:r>
        <w:rPr>
          <w:rFonts w:hint="eastAsia" w:hAnsi="宋体" w:cs="宋体"/>
          <w:szCs w:val="21"/>
        </w:rPr>
        <w:t>（二）成交供应商是医用气体生产企业或经有效授权的医用气体代销企业。</w:t>
      </w:r>
    </w:p>
    <w:p w14:paraId="74685D56">
      <w:pPr>
        <w:pStyle w:val="11"/>
        <w:tabs>
          <w:tab w:val="left" w:pos="540"/>
        </w:tabs>
        <w:adjustRightInd w:val="0"/>
        <w:snapToGrid w:val="0"/>
        <w:spacing w:line="440" w:lineRule="exact"/>
        <w:rPr>
          <w:rFonts w:hAnsi="宋体" w:cs="宋体"/>
          <w:b/>
          <w:bCs/>
          <w:szCs w:val="21"/>
          <w:lang w:val="zh-CN"/>
        </w:rPr>
      </w:pPr>
      <w:r>
        <w:rPr>
          <w:rFonts w:hint="eastAsia" w:hAnsi="宋体" w:cs="宋体"/>
          <w:b/>
          <w:bCs/>
          <w:szCs w:val="21"/>
        </w:rPr>
        <w:t>五、</w:t>
      </w:r>
      <w:r>
        <w:rPr>
          <w:rFonts w:hint="eastAsia" w:hAnsi="宋体" w:cs="宋体"/>
          <w:b/>
          <w:bCs/>
          <w:szCs w:val="21"/>
          <w:lang w:val="zh-CN"/>
        </w:rPr>
        <w:t>质量要求</w:t>
      </w:r>
    </w:p>
    <w:p w14:paraId="47F95E75">
      <w:pPr>
        <w:tabs>
          <w:tab w:val="left" w:pos="540"/>
        </w:tabs>
        <w:adjustRightInd w:val="0"/>
        <w:spacing w:line="440" w:lineRule="exact"/>
        <w:ind w:firstLine="420" w:firstLineChars="200"/>
        <w:rPr>
          <w:rFonts w:ascii="宋体" w:hAnsi="宋体" w:cs="宋体"/>
          <w:szCs w:val="21"/>
          <w:lang w:val="zh-CN"/>
        </w:rPr>
      </w:pPr>
      <w:r>
        <w:rPr>
          <w:rFonts w:hint="eastAsia" w:ascii="宋体" w:hAnsi="宋体" w:cs="宋体"/>
          <w:szCs w:val="21"/>
          <w:lang w:val="zh-CN"/>
        </w:rPr>
        <w:t>（一）成交供应商所提供的医用氧必须符合中华人民共和国国家安全环保标准、国家有关产品质量认证标准：符合《中华人民共和国药典20</w:t>
      </w:r>
      <w:r>
        <w:rPr>
          <w:rFonts w:hint="eastAsia" w:ascii="宋体" w:hAnsi="宋体" w:cs="宋体"/>
          <w:szCs w:val="21"/>
        </w:rPr>
        <w:t>20</w:t>
      </w:r>
      <w:r>
        <w:rPr>
          <w:rFonts w:hint="eastAsia" w:ascii="宋体" w:hAnsi="宋体" w:cs="宋体"/>
          <w:szCs w:val="21"/>
          <w:lang w:val="zh-CN"/>
        </w:rPr>
        <w:t>版》要求，医用氧纯度≥99.5%以及其他相关的技术标准，若有新的药典标准颁布，则必须执行最新的《中国药典》版本要求。严禁提供假冒伪劣物资，严禁用工业氧气冒充</w:t>
      </w:r>
      <w:r>
        <w:rPr>
          <w:rFonts w:hint="eastAsia" w:ascii="宋体" w:hAnsi="宋体" w:cs="宋体"/>
          <w:szCs w:val="21"/>
        </w:rPr>
        <w:t>或替代</w:t>
      </w:r>
      <w:r>
        <w:rPr>
          <w:rFonts w:hint="eastAsia" w:ascii="宋体" w:hAnsi="宋体" w:cs="宋体"/>
          <w:szCs w:val="21"/>
          <w:lang w:val="zh-CN"/>
        </w:rPr>
        <w:t>医用氧气。</w:t>
      </w:r>
    </w:p>
    <w:p w14:paraId="7B623FAD">
      <w:pPr>
        <w:tabs>
          <w:tab w:val="left" w:pos="540"/>
        </w:tabs>
        <w:adjustRightInd w:val="0"/>
        <w:spacing w:line="440" w:lineRule="exact"/>
        <w:ind w:firstLine="420" w:firstLineChars="200"/>
        <w:rPr>
          <w:rFonts w:ascii="宋体" w:hAnsi="宋体" w:cs="宋体"/>
          <w:szCs w:val="21"/>
          <w:lang w:val="zh-CN"/>
        </w:rPr>
      </w:pPr>
      <w:r>
        <w:rPr>
          <w:rFonts w:hint="eastAsia" w:ascii="宋体" w:hAnsi="宋体" w:cs="宋体"/>
          <w:szCs w:val="21"/>
          <w:lang w:val="zh-CN"/>
        </w:rPr>
        <w:t>（二）成交供应商送医用氧时应向用户提供所供应产品的检验报告，如成交供应商所供医用氧不符合化验单标准，采购人有权要求成交供应商更换医用氧（达到原始的化验单标准）或终止协议并追究其法律责任及由此产生的一切费用。</w:t>
      </w:r>
    </w:p>
    <w:p w14:paraId="76332FAD">
      <w:pPr>
        <w:tabs>
          <w:tab w:val="left" w:pos="540"/>
        </w:tabs>
        <w:adjustRightInd w:val="0"/>
        <w:spacing w:line="440" w:lineRule="exact"/>
        <w:ind w:firstLine="420" w:firstLineChars="200"/>
        <w:rPr>
          <w:rFonts w:ascii="宋体" w:hAnsi="宋体" w:cs="宋体"/>
          <w:szCs w:val="21"/>
          <w:lang w:val="zh-CN"/>
        </w:rPr>
      </w:pPr>
      <w:r>
        <w:rPr>
          <w:rFonts w:hint="eastAsia" w:ascii="宋体" w:hAnsi="宋体" w:cs="宋体"/>
          <w:szCs w:val="21"/>
          <w:lang w:val="zh-CN"/>
        </w:rPr>
        <w:t>（三）本项目所有使用气体充装容器由成交供应商提供，气瓶应符合国家安全质量要求，负责对气瓶（含医院提供的气瓶）进行维护保养，定期检验，并承担相关费用。</w:t>
      </w:r>
    </w:p>
    <w:p w14:paraId="7BEF0B99">
      <w:pPr>
        <w:tabs>
          <w:tab w:val="left" w:pos="540"/>
        </w:tabs>
        <w:adjustRightInd w:val="0"/>
        <w:spacing w:line="440" w:lineRule="exact"/>
        <w:ind w:firstLine="420" w:firstLineChars="200"/>
        <w:rPr>
          <w:rFonts w:ascii="宋体" w:hAnsi="宋体" w:cs="宋体"/>
          <w:szCs w:val="21"/>
          <w:lang w:val="zh-CN"/>
        </w:rPr>
      </w:pPr>
      <w:r>
        <w:rPr>
          <w:rFonts w:hint="eastAsia" w:ascii="宋体" w:hAnsi="宋体" w:cs="宋体"/>
          <w:szCs w:val="21"/>
          <w:lang w:val="zh-CN"/>
        </w:rPr>
        <w:t>（四）每个瓶装氧气都应帖有合格证，合格证上应注明：产品名称、生产企业、生产批号、生产日期、有效期、气体的容量（m3）、压力（Mpa）、质量（kg）和纯度（%）、执行标准代号等。</w:t>
      </w:r>
    </w:p>
    <w:p w14:paraId="5C26866A">
      <w:pPr>
        <w:widowControl/>
        <w:spacing w:line="44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五</w:t>
      </w:r>
      <w:r>
        <w:rPr>
          <w:rFonts w:hint="eastAsia" w:ascii="宋体" w:hAnsi="宋体" w:cs="宋体"/>
          <w:szCs w:val="21"/>
          <w:lang w:val="zh-CN"/>
        </w:rPr>
        <w:t>）每批次液态氧出厂前，必须按国家药品质量标准进行全检，并在供应货物时提供出厂检验合格证。</w:t>
      </w:r>
    </w:p>
    <w:p w14:paraId="5CA6D9AF">
      <w:pPr>
        <w:widowControl/>
        <w:spacing w:line="44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六</w:t>
      </w:r>
      <w:r>
        <w:rPr>
          <w:rFonts w:hint="eastAsia" w:ascii="宋体" w:hAnsi="宋体" w:cs="宋体"/>
          <w:szCs w:val="21"/>
          <w:lang w:val="zh-CN"/>
        </w:rPr>
        <w:t>）成交供应商提供的杜瓦罐应符合国家安全质量要求，并具备有效的检测合格证。</w:t>
      </w:r>
    </w:p>
    <w:p w14:paraId="40C09153">
      <w:pPr>
        <w:widowControl/>
        <w:spacing w:line="440" w:lineRule="exact"/>
        <w:ind w:firstLine="420" w:firstLineChars="200"/>
        <w:rPr>
          <w:rFonts w:ascii="宋体" w:hAnsi="宋体" w:cs="宋体"/>
          <w:szCs w:val="21"/>
          <w:lang w:val="zh-CN"/>
        </w:rPr>
      </w:pPr>
      <w:r>
        <w:rPr>
          <w:rFonts w:hint="eastAsia" w:ascii="宋体" w:hAnsi="宋体" w:cs="宋体"/>
          <w:szCs w:val="21"/>
          <w:lang w:val="zh-CN"/>
        </w:rPr>
        <w:t>（七）成交供应商必须承诺提供的气体接口能与采购人现有设备相匹配，其中产生的费用由成交供应商承担。</w:t>
      </w:r>
      <w:r>
        <w:rPr>
          <w:rFonts w:hint="eastAsia" w:ascii="宋体" w:hAnsi="宋体" w:cs="宋体"/>
          <w:b/>
          <w:bCs/>
          <w:szCs w:val="21"/>
          <w:lang w:val="zh-CN"/>
        </w:rPr>
        <w:t>（供应商需在报价时提供承诺函响应该条款）</w:t>
      </w:r>
      <w:r>
        <w:rPr>
          <w:rFonts w:hint="eastAsia" w:ascii="宋体" w:hAnsi="宋体" w:cs="宋体"/>
          <w:szCs w:val="21"/>
          <w:lang w:val="zh-CN"/>
        </w:rPr>
        <w:t>。</w:t>
      </w:r>
    </w:p>
    <w:p w14:paraId="0FC57432">
      <w:pPr>
        <w:widowControl/>
        <w:spacing w:line="440" w:lineRule="exact"/>
        <w:ind w:firstLine="420" w:firstLineChars="200"/>
        <w:rPr>
          <w:rFonts w:ascii="宋体" w:hAnsi="宋体" w:cs="宋体"/>
          <w:szCs w:val="21"/>
          <w:lang w:val="zh-CN"/>
        </w:rPr>
      </w:pPr>
      <w:r>
        <w:rPr>
          <w:rFonts w:hint="eastAsia" w:ascii="宋体" w:hAnsi="宋体" w:cs="宋体"/>
          <w:szCs w:val="21"/>
          <w:lang w:val="zh-CN"/>
        </w:rPr>
        <w:t>（八）成交供应商所投医用氧须具有有效的《药品注册证明》</w:t>
      </w:r>
      <w:r>
        <w:rPr>
          <w:rFonts w:hint="eastAsia" w:ascii="宋体" w:hAnsi="宋体" w:cs="宋体"/>
          <w:b/>
          <w:bCs/>
          <w:szCs w:val="21"/>
          <w:lang w:val="zh-CN"/>
        </w:rPr>
        <w:t>（在报价时提供证明材料复印件）</w:t>
      </w:r>
      <w:r>
        <w:rPr>
          <w:rFonts w:hint="eastAsia" w:ascii="宋体" w:hAnsi="宋体" w:cs="宋体"/>
          <w:szCs w:val="21"/>
          <w:lang w:val="zh-CN"/>
        </w:rPr>
        <w:t>。</w:t>
      </w:r>
    </w:p>
    <w:p w14:paraId="61CE8E6F">
      <w:pPr>
        <w:widowControl/>
        <w:spacing w:line="44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九</w:t>
      </w:r>
      <w:r>
        <w:rPr>
          <w:rFonts w:hint="eastAsia" w:ascii="宋体" w:hAnsi="宋体" w:cs="宋体"/>
          <w:szCs w:val="21"/>
          <w:lang w:val="zh-CN"/>
        </w:rPr>
        <w:t>）采购人使用的所有气瓶均由成交供应商免费提供，且应充分满足采购人的要求，所有使用气瓶应符合国家安全质量要求；中标供应商负责对气瓶（含采购人可能提供的气瓶）进行维护保养、定期检验并有第三方检测合格证明文件，相关费用全部由成交供应商承担。</w:t>
      </w:r>
    </w:p>
    <w:p w14:paraId="37B69A46">
      <w:pPr>
        <w:widowControl/>
        <w:spacing w:line="440" w:lineRule="exact"/>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十</w:t>
      </w:r>
      <w:r>
        <w:rPr>
          <w:rFonts w:hint="eastAsia" w:ascii="宋体" w:hAnsi="宋体" w:cs="宋体"/>
          <w:szCs w:val="21"/>
          <w:lang w:val="zh-CN"/>
        </w:rPr>
        <w:t>）成交供应商</w:t>
      </w:r>
      <w:r>
        <w:rPr>
          <w:rFonts w:hint="eastAsia" w:ascii="宋体" w:hAnsi="宋体" w:cs="宋体"/>
          <w:szCs w:val="21"/>
        </w:rPr>
        <w:t>如因产品生产质量或运输等有关问题被行业监管部门通报或作出相应处罚的，应立即如实告知采购人并将整改意见抄送采购人。</w:t>
      </w:r>
    </w:p>
    <w:p w14:paraId="6F45DB36">
      <w:pPr>
        <w:pStyle w:val="11"/>
        <w:tabs>
          <w:tab w:val="left" w:pos="540"/>
        </w:tabs>
        <w:adjustRightInd w:val="0"/>
        <w:snapToGrid w:val="0"/>
        <w:spacing w:line="440" w:lineRule="exact"/>
        <w:rPr>
          <w:rFonts w:hAnsi="宋体" w:cs="宋体"/>
          <w:b/>
          <w:bCs/>
          <w:szCs w:val="21"/>
          <w:lang w:val="zh-CN"/>
        </w:rPr>
      </w:pPr>
      <w:r>
        <w:rPr>
          <w:rFonts w:hint="eastAsia" w:hAnsi="宋体" w:cs="宋体"/>
          <w:b/>
          <w:bCs/>
          <w:szCs w:val="21"/>
        </w:rPr>
        <w:t>六、</w:t>
      </w:r>
      <w:r>
        <w:rPr>
          <w:rFonts w:hint="eastAsia" w:hAnsi="宋体" w:cs="宋体"/>
          <w:b/>
          <w:bCs/>
          <w:szCs w:val="21"/>
          <w:lang w:val="zh-CN"/>
        </w:rPr>
        <w:t>运输及车辆要求</w:t>
      </w:r>
    </w:p>
    <w:p w14:paraId="76808958">
      <w:pPr>
        <w:widowControl/>
        <w:spacing w:line="440" w:lineRule="exact"/>
        <w:ind w:firstLine="420" w:firstLineChars="200"/>
        <w:rPr>
          <w:rFonts w:ascii="宋体" w:hAnsi="宋体" w:cs="宋体"/>
          <w:szCs w:val="21"/>
          <w:lang w:val="zh-CN"/>
        </w:rPr>
      </w:pPr>
      <w:r>
        <w:rPr>
          <w:rFonts w:hint="eastAsia" w:ascii="宋体" w:hAnsi="宋体" w:cs="宋体"/>
          <w:szCs w:val="21"/>
          <w:lang w:val="zh-CN"/>
        </w:rPr>
        <w:t>（一）总体运输要求</w:t>
      </w:r>
    </w:p>
    <w:p w14:paraId="20F69CE7">
      <w:pPr>
        <w:spacing w:line="440" w:lineRule="exact"/>
        <w:ind w:firstLine="210" w:firstLineChars="100"/>
        <w:rPr>
          <w:rFonts w:ascii="宋体" w:hAnsi="宋体" w:cs="宋体"/>
          <w:szCs w:val="21"/>
          <w:lang w:val="zh-CN"/>
        </w:rPr>
      </w:pPr>
      <w:r>
        <w:rPr>
          <w:rFonts w:hint="eastAsia" w:ascii="宋体" w:hAnsi="宋体" w:cs="宋体"/>
          <w:szCs w:val="21"/>
          <w:lang w:val="zh-CN"/>
        </w:rPr>
        <w:t xml:space="preserve"> 1、若成交供应商能直接提供医用氧运输服务的，应当同时具备《道路运输经营许可证》（证书中必须有注明危险货物运输经营范围）及《广州市危险化学品车辆市区道路运输通行证》等有效证件；属于委托营运的，应提供双方的合作协议且受托方必须同时具有《道路危险货物运输许可证》及《广州市危险化学品车辆市区道路运输通行证》方可进行货物配送。</w:t>
      </w:r>
      <w:r>
        <w:rPr>
          <w:rFonts w:hint="eastAsia" w:ascii="宋体" w:hAnsi="宋体" w:cs="宋体"/>
          <w:b/>
          <w:bCs/>
          <w:szCs w:val="21"/>
          <w:lang w:val="zh-CN"/>
        </w:rPr>
        <w:t>（</w:t>
      </w:r>
      <w:r>
        <w:rPr>
          <w:rFonts w:hint="eastAsia" w:ascii="宋体" w:hAnsi="宋体" w:cs="宋体"/>
          <w:b/>
          <w:bCs/>
          <w:szCs w:val="21"/>
        </w:rPr>
        <w:t>报价时</w:t>
      </w:r>
      <w:r>
        <w:rPr>
          <w:rFonts w:hint="eastAsia" w:ascii="宋体" w:hAnsi="宋体" w:cs="宋体"/>
          <w:b/>
          <w:bCs/>
          <w:szCs w:val="21"/>
          <w:lang w:val="zh-CN"/>
        </w:rPr>
        <w:t>提供加盖投标人公章的完整的证明材料复印件。）</w:t>
      </w:r>
    </w:p>
    <w:p w14:paraId="60535289">
      <w:pPr>
        <w:spacing w:line="440" w:lineRule="exact"/>
        <w:ind w:firstLine="420" w:firstLineChars="200"/>
        <w:rPr>
          <w:rFonts w:ascii="宋体" w:hAnsi="宋体" w:cs="宋体"/>
          <w:szCs w:val="21"/>
          <w:lang w:val="zh-CN"/>
        </w:rPr>
      </w:pPr>
      <w:r>
        <w:rPr>
          <w:rFonts w:hint="eastAsia" w:ascii="宋体" w:hAnsi="宋体" w:cs="宋体"/>
          <w:szCs w:val="21"/>
          <w:lang w:val="zh-CN"/>
        </w:rPr>
        <w:t>2、成交供应商应遵守国家、省市、行业等的相关法律法规有关危险货物运输的规定与要求；成交供应商应根据项目的实际情况编制具体适用的初步运输方案，确保运输工作合法、安全、有序地进行。</w:t>
      </w:r>
    </w:p>
    <w:p w14:paraId="239EB352">
      <w:pPr>
        <w:widowControl/>
        <w:spacing w:line="440" w:lineRule="exact"/>
        <w:ind w:firstLine="420" w:firstLineChars="200"/>
        <w:rPr>
          <w:rFonts w:ascii="宋体" w:hAnsi="宋体" w:cs="宋体"/>
          <w:szCs w:val="21"/>
          <w:lang w:val="zh-CN"/>
        </w:rPr>
      </w:pPr>
      <w:r>
        <w:rPr>
          <w:rFonts w:hint="eastAsia" w:ascii="宋体" w:hAnsi="宋体" w:cs="宋体"/>
          <w:szCs w:val="21"/>
          <w:lang w:val="zh-CN"/>
        </w:rPr>
        <w:t>（二）具体运输要求</w:t>
      </w:r>
    </w:p>
    <w:p w14:paraId="493CC7B8">
      <w:pPr>
        <w:spacing w:line="440" w:lineRule="exact"/>
        <w:ind w:firstLine="420" w:firstLineChars="200"/>
        <w:rPr>
          <w:rFonts w:ascii="宋体" w:hAnsi="宋体" w:cs="宋体"/>
          <w:szCs w:val="21"/>
          <w:lang w:val="zh-CN"/>
        </w:rPr>
      </w:pPr>
      <w:r>
        <w:rPr>
          <w:rFonts w:hint="eastAsia" w:ascii="宋体" w:hAnsi="宋体" w:cs="宋体"/>
          <w:szCs w:val="21"/>
          <w:lang w:val="zh-CN"/>
        </w:rPr>
        <w:t>1、严禁专用车辆违反国家有关规定超载、超限运输。成交供应商使用罐式专用车辆运输货物时，罐体载货后的总质量应当和专用车辆核定载质量相匹配。</w:t>
      </w:r>
      <w:bookmarkStart w:id="3" w:name="law46"/>
      <w:bookmarkEnd w:id="3"/>
    </w:p>
    <w:p w14:paraId="294322C4">
      <w:pPr>
        <w:spacing w:line="440" w:lineRule="exact"/>
        <w:ind w:firstLine="420" w:firstLineChars="200"/>
        <w:rPr>
          <w:rFonts w:ascii="宋体" w:hAnsi="宋体" w:cs="宋体"/>
          <w:szCs w:val="21"/>
          <w:lang w:val="zh-CN"/>
        </w:rPr>
      </w:pPr>
      <w:r>
        <w:rPr>
          <w:rFonts w:hint="eastAsia" w:ascii="宋体" w:hAnsi="宋体" w:cs="宋体"/>
          <w:szCs w:val="21"/>
          <w:lang w:val="zh-CN"/>
        </w:rPr>
        <w:t>2、成交供应商应当通过卫星定位监控平台或者监控终端及时纠正和处理超速行驶、疲劳驾驶、不按规定线路行驶等违法违规驾驶行为。</w:t>
      </w:r>
    </w:p>
    <w:p w14:paraId="5F96385D">
      <w:pPr>
        <w:spacing w:line="440" w:lineRule="exact"/>
        <w:ind w:firstLine="420" w:firstLineChars="200"/>
        <w:rPr>
          <w:rFonts w:ascii="宋体" w:hAnsi="宋体" w:cs="宋体"/>
          <w:szCs w:val="21"/>
          <w:lang w:val="zh-CN"/>
        </w:rPr>
      </w:pPr>
      <w:r>
        <w:rPr>
          <w:rFonts w:hint="eastAsia" w:ascii="宋体" w:hAnsi="宋体" w:cs="宋体"/>
          <w:szCs w:val="21"/>
          <w:lang w:val="zh-CN"/>
        </w:rPr>
        <w:t>3、成交供应商应当采取必要措施，防止危险货物脱落、扬散、丢失以及燃烧、爆炸、泄漏等。</w:t>
      </w:r>
      <w:bookmarkStart w:id="4" w:name="law52"/>
      <w:bookmarkEnd w:id="4"/>
      <w:r>
        <w:rPr>
          <w:rFonts w:hint="eastAsia" w:ascii="宋体" w:hAnsi="宋体" w:cs="宋体"/>
          <w:szCs w:val="21"/>
          <w:lang w:val="zh-CN"/>
        </w:rPr>
        <w:t>用于运输危险化学品的槽罐以及其他容器应当封口严密，能够防止危险化学品在运输过程中因温度、湿度或者压力的变化发生渗漏、洒漏；槽罐以及其他容器的溢流和泄压装置应当设置准确、起闭灵活。</w:t>
      </w:r>
    </w:p>
    <w:p w14:paraId="627638DE">
      <w:pPr>
        <w:spacing w:line="440" w:lineRule="exact"/>
        <w:ind w:firstLine="420" w:firstLineChars="200"/>
        <w:rPr>
          <w:rFonts w:ascii="宋体" w:hAnsi="宋体" w:cs="宋体"/>
          <w:szCs w:val="21"/>
          <w:lang w:val="zh-CN"/>
        </w:rPr>
      </w:pPr>
      <w:r>
        <w:rPr>
          <w:rFonts w:hint="eastAsia" w:ascii="宋体" w:hAnsi="宋体" w:cs="宋体"/>
          <w:szCs w:val="21"/>
          <w:lang w:val="zh-CN"/>
        </w:rPr>
        <w:t>4、在危险货物装卸过程中，应当根据危险货物的性质，轻装轻卸，堆码整齐，防止混杂、撒漏、破损，不得与普通货物混合堆放。</w:t>
      </w:r>
    </w:p>
    <w:p w14:paraId="102D4658">
      <w:pPr>
        <w:spacing w:line="440" w:lineRule="exact"/>
        <w:ind w:firstLine="420" w:firstLineChars="200"/>
        <w:rPr>
          <w:rFonts w:ascii="宋体" w:hAnsi="宋体" w:cs="宋体"/>
          <w:szCs w:val="21"/>
          <w:lang w:val="zh-CN"/>
        </w:rPr>
      </w:pPr>
      <w:bookmarkStart w:id="5" w:name="law48"/>
      <w:bookmarkEnd w:id="5"/>
      <w:r>
        <w:rPr>
          <w:rFonts w:hint="eastAsia" w:ascii="宋体" w:hAnsi="宋体" w:cs="宋体"/>
          <w:szCs w:val="21"/>
          <w:lang w:val="zh-CN"/>
        </w:rPr>
        <w:t>5、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本运输企业或者单位报告。成交供应商接到事故报告后，应当按照本单位危险货物应急预案组织救援，并向事故发生地安全生产监督管理部门和环境保护、卫生主管部门报告。</w:t>
      </w:r>
    </w:p>
    <w:p w14:paraId="00F837B1">
      <w:pPr>
        <w:spacing w:line="440" w:lineRule="exact"/>
        <w:ind w:firstLine="420" w:firstLineChars="200"/>
        <w:rPr>
          <w:rFonts w:ascii="宋体" w:hAnsi="宋体" w:cs="宋体"/>
          <w:szCs w:val="21"/>
          <w:lang w:val="zh-CN"/>
        </w:rPr>
      </w:pPr>
      <w:r>
        <w:rPr>
          <w:rFonts w:hint="eastAsia" w:ascii="宋体" w:hAnsi="宋体" w:cs="宋体"/>
          <w:szCs w:val="21"/>
          <w:lang w:val="zh-CN"/>
        </w:rPr>
        <w:t>（三）运输专用车辆要求</w:t>
      </w:r>
    </w:p>
    <w:p w14:paraId="4A851776">
      <w:pPr>
        <w:widowControl/>
        <w:spacing w:line="440" w:lineRule="exact"/>
        <w:ind w:firstLine="420" w:firstLineChars="200"/>
        <w:rPr>
          <w:rFonts w:ascii="宋体" w:hAnsi="宋体" w:cs="宋体"/>
          <w:szCs w:val="21"/>
          <w:lang w:val="zh-CN"/>
        </w:rPr>
      </w:pPr>
      <w:r>
        <w:rPr>
          <w:rFonts w:hint="eastAsia" w:ascii="宋体" w:hAnsi="宋体" w:cs="宋体"/>
          <w:szCs w:val="21"/>
          <w:lang w:val="zh-CN"/>
        </w:rPr>
        <w:t>1、成交供应商必须提供符合国务院交通主管部门有关危险货物运输安全要求的运输工具（运输专用车辆），并保证服务期内投入本项目的所有运输专用车辆均具有合法的所有权或使用权，且无重大交通责任事故或犯罪记录，无因此而产生任何法律纠纷。</w:t>
      </w:r>
      <w:r>
        <w:rPr>
          <w:rFonts w:hint="eastAsia" w:ascii="宋体" w:hAnsi="宋体" w:cs="宋体"/>
          <w:b/>
          <w:bCs/>
          <w:szCs w:val="21"/>
          <w:lang w:val="zh-CN"/>
        </w:rPr>
        <w:t>（在报价时提供承诺函）</w:t>
      </w:r>
    </w:p>
    <w:p w14:paraId="32844E8D">
      <w:pPr>
        <w:widowControl/>
        <w:spacing w:line="440" w:lineRule="exact"/>
        <w:ind w:firstLine="420" w:firstLineChars="200"/>
        <w:jc w:val="left"/>
        <w:rPr>
          <w:rFonts w:ascii="宋体" w:hAnsi="宋体" w:cs="宋体"/>
          <w:szCs w:val="21"/>
          <w:lang w:val="zh-CN"/>
        </w:rPr>
      </w:pPr>
      <w:r>
        <w:rPr>
          <w:rFonts w:hint="eastAsia" w:ascii="宋体" w:hAnsi="宋体" w:cs="宋体"/>
          <w:szCs w:val="21"/>
          <w:lang w:val="zh-CN"/>
        </w:rPr>
        <w:t>2、投入本项目的运输专用车辆应具有从事危险货物道路运输的《道路运输证》及应当按照国家标准《道路运输危险货物车辆标志》（GB13392）的要求悬挂标志。</w:t>
      </w:r>
    </w:p>
    <w:p w14:paraId="0BAD991B">
      <w:pPr>
        <w:spacing w:line="440" w:lineRule="exact"/>
        <w:ind w:firstLine="420" w:firstLineChars="200"/>
        <w:rPr>
          <w:rFonts w:ascii="宋体" w:hAnsi="宋体" w:cs="宋体"/>
          <w:szCs w:val="21"/>
          <w:lang w:val="zh-CN"/>
        </w:rPr>
      </w:pPr>
      <w:r>
        <w:rPr>
          <w:rFonts w:hint="eastAsia" w:ascii="宋体" w:hAnsi="宋体" w:cs="宋体"/>
          <w:szCs w:val="21"/>
          <w:lang w:val="zh-CN"/>
        </w:rPr>
        <w:t>3、运输专用车辆均须符合国家有关安全、环保、年审及营运等法律、法规及规章等要求。</w:t>
      </w:r>
    </w:p>
    <w:p w14:paraId="52908591">
      <w:pPr>
        <w:spacing w:line="440" w:lineRule="exact"/>
        <w:ind w:firstLine="420" w:firstLineChars="200"/>
        <w:rPr>
          <w:rFonts w:ascii="宋体" w:hAnsi="宋体" w:cs="宋体"/>
          <w:szCs w:val="21"/>
          <w:lang w:val="zh-CN"/>
        </w:rPr>
      </w:pPr>
      <w:r>
        <w:rPr>
          <w:rFonts w:hint="eastAsia" w:ascii="宋体" w:hAnsi="宋体" w:cs="宋体"/>
          <w:szCs w:val="21"/>
          <w:lang w:val="zh-CN"/>
        </w:rPr>
        <w:t>4、运输专用车辆均须依法购置有关的车辆保险（含第三者商业责任险、车上责任险）。</w:t>
      </w:r>
    </w:p>
    <w:p w14:paraId="37397793">
      <w:pPr>
        <w:spacing w:line="440" w:lineRule="exact"/>
        <w:ind w:firstLine="420" w:firstLineChars="200"/>
        <w:rPr>
          <w:rFonts w:ascii="宋体" w:hAnsi="宋体" w:cs="宋体"/>
          <w:szCs w:val="21"/>
          <w:lang w:val="zh-CN"/>
        </w:rPr>
      </w:pPr>
      <w:r>
        <w:rPr>
          <w:rFonts w:hint="eastAsia" w:ascii="宋体" w:hAnsi="宋体" w:cs="宋体"/>
          <w:szCs w:val="21"/>
          <w:lang w:val="zh-CN"/>
        </w:rPr>
        <w:t>5、运输专用车辆均须符合国家及本项目服务行政区域内有关尾气排放量及相关环保标准。</w:t>
      </w:r>
    </w:p>
    <w:p w14:paraId="3D80465D">
      <w:pPr>
        <w:spacing w:line="440" w:lineRule="exact"/>
        <w:ind w:firstLine="420" w:firstLineChars="200"/>
        <w:rPr>
          <w:rFonts w:ascii="宋体" w:hAnsi="宋体" w:cs="宋体"/>
          <w:szCs w:val="21"/>
          <w:lang w:val="zh-CN"/>
        </w:rPr>
      </w:pPr>
      <w:r>
        <w:rPr>
          <w:rFonts w:hint="eastAsia" w:ascii="宋体" w:hAnsi="宋体" w:cs="宋体"/>
          <w:szCs w:val="21"/>
          <w:lang w:val="zh-CN"/>
        </w:rPr>
        <w:t>6、运输专用车辆技术性能符合国家标准《营运车辆综合性能要求和检验方法》（GB18565）的要求；技术等级达到行业标准《营运车辆技术等级划分和评定要求》（JT/T198）规定的一级技术等级。</w:t>
      </w:r>
    </w:p>
    <w:p w14:paraId="583B3CCF">
      <w:pPr>
        <w:spacing w:line="440" w:lineRule="exact"/>
        <w:ind w:firstLine="420" w:firstLineChars="200"/>
        <w:rPr>
          <w:rFonts w:ascii="宋体" w:hAnsi="宋体" w:cs="宋体"/>
          <w:szCs w:val="21"/>
          <w:lang w:val="zh-CN"/>
        </w:rPr>
      </w:pPr>
      <w:r>
        <w:rPr>
          <w:rFonts w:hint="eastAsia" w:ascii="宋体" w:hAnsi="宋体" w:cs="宋体"/>
          <w:szCs w:val="21"/>
          <w:lang w:val="zh-CN"/>
        </w:rPr>
        <w:t>7、运输专用车辆外廓尺寸、轴荷和质量符合国家标准《道路车辆外廓尺寸、轴荷和质量限值》（GB1589）的要求。</w:t>
      </w:r>
    </w:p>
    <w:p w14:paraId="665A0FE3">
      <w:pPr>
        <w:spacing w:line="440" w:lineRule="exact"/>
        <w:ind w:firstLine="420" w:firstLineChars="200"/>
        <w:rPr>
          <w:rFonts w:ascii="宋体" w:hAnsi="宋体" w:cs="宋体"/>
          <w:szCs w:val="21"/>
          <w:lang w:val="zh-CN"/>
        </w:rPr>
      </w:pPr>
      <w:r>
        <w:rPr>
          <w:rFonts w:hint="eastAsia" w:ascii="宋体" w:hAnsi="宋体" w:cs="宋体"/>
          <w:szCs w:val="21"/>
          <w:lang w:val="zh-CN"/>
        </w:rPr>
        <w:t>8、罐式专用车辆的罐体应当经质量检验部门检验合格，且罐体载货后总质量与专用车辆核定载质量相匹配。</w:t>
      </w:r>
    </w:p>
    <w:p w14:paraId="1B76C924">
      <w:pPr>
        <w:spacing w:line="440" w:lineRule="exact"/>
        <w:ind w:firstLine="420" w:firstLineChars="200"/>
        <w:rPr>
          <w:rFonts w:ascii="宋体" w:hAnsi="宋体" w:cs="宋体"/>
          <w:szCs w:val="21"/>
          <w:lang w:val="zh-CN"/>
        </w:rPr>
      </w:pPr>
      <w:r>
        <w:rPr>
          <w:rFonts w:hint="eastAsia" w:ascii="宋体" w:hAnsi="宋体" w:cs="宋体"/>
          <w:szCs w:val="21"/>
          <w:lang w:val="zh-CN"/>
        </w:rPr>
        <w:t>9、运输专用车辆应当配备有效的通讯工具及安装具有行驶记录功能的卫星定位装置。（</w:t>
      </w:r>
      <w:r>
        <w:rPr>
          <w:rFonts w:hint="eastAsia" w:ascii="宋体" w:hAnsi="宋体" w:cs="宋体"/>
          <w:szCs w:val="21"/>
        </w:rPr>
        <w:t>因采购人特殊监管要求，在进入采购人监管场所时运输车辆需关闭卫星定位或视频类行车记录仪等，采购人可配合供应商向有关交管部门说明情况，提供有关证明材料。</w:t>
      </w:r>
      <w:r>
        <w:rPr>
          <w:rFonts w:hint="eastAsia" w:ascii="宋体" w:hAnsi="宋体" w:cs="宋体"/>
          <w:szCs w:val="21"/>
          <w:lang w:val="zh-CN"/>
        </w:rPr>
        <w:t>）</w:t>
      </w:r>
    </w:p>
    <w:p w14:paraId="08AD5D82">
      <w:pPr>
        <w:spacing w:line="440" w:lineRule="exact"/>
        <w:ind w:firstLine="420" w:firstLineChars="200"/>
        <w:rPr>
          <w:rFonts w:ascii="宋体" w:hAnsi="宋体" w:cs="宋体"/>
          <w:szCs w:val="21"/>
          <w:lang w:val="zh-CN"/>
        </w:rPr>
      </w:pPr>
      <w:r>
        <w:rPr>
          <w:rFonts w:hint="eastAsia" w:ascii="宋体" w:hAnsi="宋体" w:cs="宋体"/>
          <w:szCs w:val="21"/>
          <w:lang w:val="zh-CN"/>
        </w:rPr>
        <w:t>10、运输专用车辆应当配备与运输的危险货物性质相适应的安全防护、环境保护和消防设施设备。</w:t>
      </w:r>
    </w:p>
    <w:p w14:paraId="03E62991">
      <w:pPr>
        <w:widowControl/>
        <w:spacing w:line="440" w:lineRule="exact"/>
        <w:ind w:firstLine="420" w:firstLineChars="200"/>
        <w:rPr>
          <w:rFonts w:ascii="宋体" w:hAnsi="宋体" w:cs="宋体"/>
          <w:szCs w:val="21"/>
          <w:lang w:val="zh-CN"/>
        </w:rPr>
      </w:pPr>
      <w:r>
        <w:rPr>
          <w:rFonts w:hint="eastAsia" w:ascii="宋体" w:hAnsi="宋体" w:cs="宋体"/>
          <w:szCs w:val="21"/>
          <w:lang w:val="zh-CN"/>
        </w:rPr>
        <w:t>11、成交供应商应当负责维护、检测、使用和管理专用车辆，确保专用车辆技术状况良好。</w:t>
      </w:r>
    </w:p>
    <w:p w14:paraId="4586CDDC">
      <w:pPr>
        <w:widowControl/>
        <w:spacing w:line="440" w:lineRule="exact"/>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四</w:t>
      </w:r>
      <w:r>
        <w:rPr>
          <w:rFonts w:hint="eastAsia" w:ascii="宋体" w:hAnsi="宋体" w:cs="宋体"/>
          <w:szCs w:val="21"/>
          <w:lang w:val="zh-CN"/>
        </w:rPr>
        <w:t>）</w:t>
      </w:r>
      <w:r>
        <w:rPr>
          <w:rFonts w:hint="eastAsia" w:ascii="宋体" w:hAnsi="宋体" w:cs="宋体"/>
          <w:szCs w:val="21"/>
        </w:rPr>
        <w:t>运输人员要求</w:t>
      </w:r>
    </w:p>
    <w:p w14:paraId="6A7A63DA">
      <w:pPr>
        <w:widowControl/>
        <w:spacing w:line="440" w:lineRule="exact"/>
        <w:ind w:firstLine="420" w:firstLineChars="200"/>
        <w:rPr>
          <w:rFonts w:ascii="宋体" w:hAnsi="宋体" w:cs="宋体"/>
          <w:szCs w:val="21"/>
          <w:lang w:val="zh-CN"/>
        </w:rPr>
      </w:pPr>
      <w:r>
        <w:rPr>
          <w:rFonts w:hint="eastAsia" w:ascii="宋体" w:hAnsi="宋体" w:cs="宋体"/>
          <w:szCs w:val="21"/>
        </w:rPr>
        <w:t>1、成交供应商或委托运输机构</w:t>
      </w:r>
      <w:r>
        <w:rPr>
          <w:rFonts w:hint="eastAsia" w:ascii="宋体" w:hAnsi="宋体" w:cs="宋体"/>
          <w:szCs w:val="21"/>
          <w:lang w:val="zh-CN"/>
        </w:rPr>
        <w:t>须配有专职危险货物驾驶员并同时配有随车专职押运员，配送人员须具有危险品运输驾驶证，危险品运输押运证等有关从业资质。</w:t>
      </w:r>
    </w:p>
    <w:p w14:paraId="7A5A2486">
      <w:pPr>
        <w:widowControl/>
        <w:spacing w:line="44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 xml:space="preserve"> 道路危险货物运输从业人员必须熟悉有关安全生产的法规、技术标准和安全生产规章制度、安全操作规程，了解所装运危险货物的性质、危害特性、包装物或者容器的使用要求和发生意外事故时的处置措施，并严格执行</w:t>
      </w:r>
      <w:r>
        <w:rPr>
          <w:rFonts w:hint="eastAsia" w:ascii="宋体" w:hAnsi="宋体" w:cs="宋体"/>
          <w:szCs w:val="21"/>
        </w:rPr>
        <w:t>有关运输标准，不得违章作业。</w:t>
      </w:r>
    </w:p>
    <w:p w14:paraId="27FE9681">
      <w:pPr>
        <w:widowControl/>
        <w:spacing w:line="44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医用氧气产品的存储、运送、使用有相关危险性，</w:t>
      </w:r>
      <w:r>
        <w:rPr>
          <w:rFonts w:hint="eastAsia" w:ascii="宋体" w:hAnsi="宋体" w:cs="宋体"/>
          <w:szCs w:val="21"/>
        </w:rPr>
        <w:t>成交供应商</w:t>
      </w:r>
      <w:r>
        <w:rPr>
          <w:rFonts w:hint="eastAsia" w:ascii="宋体" w:hAnsi="宋体" w:cs="宋体"/>
          <w:szCs w:val="21"/>
          <w:lang w:val="zh-CN"/>
        </w:rPr>
        <w:t>有义务负责警示并保护其员工在储存、运送及使用产品过程免受此种危险。</w:t>
      </w:r>
    </w:p>
    <w:p w14:paraId="4FAE2E61">
      <w:pPr>
        <w:widowControl/>
        <w:spacing w:line="440" w:lineRule="exact"/>
        <w:rPr>
          <w:rFonts w:ascii="宋体" w:hAnsi="宋体" w:cs="宋体"/>
          <w:b/>
          <w:bCs/>
          <w:szCs w:val="21"/>
          <w:lang w:val="zh-CN"/>
        </w:rPr>
      </w:pPr>
      <w:r>
        <w:rPr>
          <w:rFonts w:hint="eastAsia" w:ascii="宋体" w:hAnsi="宋体" w:cs="宋体"/>
          <w:b/>
          <w:bCs/>
          <w:szCs w:val="21"/>
        </w:rPr>
        <w:t>七、</w:t>
      </w:r>
      <w:r>
        <w:rPr>
          <w:rFonts w:hint="eastAsia" w:ascii="宋体" w:hAnsi="宋体" w:cs="宋体"/>
          <w:b/>
          <w:bCs/>
          <w:szCs w:val="21"/>
          <w:lang w:val="zh-CN"/>
        </w:rPr>
        <w:t>交货</w:t>
      </w:r>
      <w:r>
        <w:rPr>
          <w:rFonts w:hint="eastAsia" w:ascii="宋体" w:hAnsi="宋体" w:cs="宋体"/>
          <w:b/>
          <w:bCs/>
          <w:szCs w:val="21"/>
        </w:rPr>
        <w:t>和验收</w:t>
      </w:r>
      <w:r>
        <w:rPr>
          <w:rFonts w:hint="eastAsia" w:ascii="宋体" w:hAnsi="宋体" w:cs="宋体"/>
          <w:b/>
          <w:bCs/>
          <w:szCs w:val="21"/>
          <w:lang w:val="zh-CN"/>
        </w:rPr>
        <w:t>要求</w:t>
      </w:r>
    </w:p>
    <w:p w14:paraId="7B90C41A">
      <w:pPr>
        <w:widowControl/>
        <w:spacing w:line="44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一</w:t>
      </w:r>
      <w:r>
        <w:rPr>
          <w:rFonts w:hint="eastAsia" w:ascii="宋体" w:hAnsi="宋体" w:cs="宋体"/>
          <w:szCs w:val="21"/>
          <w:lang w:val="zh-CN"/>
        </w:rPr>
        <w:t>）交货要求</w:t>
      </w:r>
    </w:p>
    <w:p w14:paraId="755BB00F">
      <w:pPr>
        <w:widowControl/>
        <w:spacing w:line="440" w:lineRule="exact"/>
        <w:ind w:firstLine="420" w:firstLineChars="200"/>
        <w:jc w:val="left"/>
        <w:rPr>
          <w:rFonts w:ascii="宋体" w:hAnsi="宋体" w:cs="宋体"/>
          <w:szCs w:val="21"/>
          <w:lang w:val="zh-CN"/>
        </w:rPr>
      </w:pPr>
      <w:r>
        <w:rPr>
          <w:rFonts w:hint="eastAsia" w:ascii="宋体" w:hAnsi="宋体" w:cs="宋体"/>
          <w:szCs w:val="21"/>
          <w:lang w:val="zh-CN"/>
        </w:rPr>
        <w:t>1、成交供应商应拥有完善的储存、中转、运输和装卸等配套设施。</w:t>
      </w:r>
    </w:p>
    <w:p w14:paraId="1633491F">
      <w:pPr>
        <w:widowControl/>
        <w:spacing w:line="440" w:lineRule="exact"/>
        <w:ind w:left="1" w:firstLine="420" w:firstLineChars="200"/>
        <w:jc w:val="left"/>
        <w:rPr>
          <w:rFonts w:ascii="宋体" w:hAnsi="宋体" w:cs="宋体"/>
          <w:szCs w:val="21"/>
          <w:lang w:val="zh-CN"/>
        </w:rPr>
      </w:pPr>
      <w:r>
        <w:rPr>
          <w:rFonts w:hint="eastAsia" w:ascii="宋体" w:hAnsi="宋体" w:cs="宋体"/>
          <w:szCs w:val="21"/>
          <w:lang w:val="zh-CN"/>
        </w:rPr>
        <w:t>2、配备的储存、中转、装卸货物必须符合国家有关要求，必须符合安全监管部门危险化学品储存标准。</w:t>
      </w:r>
    </w:p>
    <w:p w14:paraId="309E0D95">
      <w:pPr>
        <w:widowControl/>
        <w:adjustRightInd w:val="0"/>
        <w:spacing w:line="440" w:lineRule="exact"/>
        <w:ind w:firstLine="420" w:firstLineChars="200"/>
        <w:jc w:val="left"/>
        <w:rPr>
          <w:rFonts w:ascii="宋体" w:hAnsi="宋体" w:cs="宋体"/>
          <w:szCs w:val="21"/>
          <w:lang w:val="zh-CN"/>
        </w:rPr>
      </w:pPr>
      <w:r>
        <w:rPr>
          <w:rFonts w:hint="eastAsia" w:ascii="宋体" w:hAnsi="宋体" w:cs="宋体"/>
          <w:szCs w:val="21"/>
          <w:lang w:val="zh-CN"/>
        </w:rPr>
        <w:t>3、为了保证货物在长途运输和装卸过程中的安全，货物包装应符合国家或行业标准规定。货物的包装均应有良好的防湿、防锈、防潮、防雨、防腐及防碰撞的措施，并适宜当地的气候条件。凡由于包装不良造成的损失和由此产生的费用均由成交供应商承担。</w:t>
      </w:r>
    </w:p>
    <w:p w14:paraId="4A4D0AFC">
      <w:pPr>
        <w:widowControl/>
        <w:adjustRightInd w:val="0"/>
        <w:spacing w:line="440" w:lineRule="exact"/>
        <w:ind w:firstLine="420" w:firstLineChars="200"/>
        <w:jc w:val="left"/>
        <w:rPr>
          <w:rFonts w:ascii="宋体" w:hAnsi="宋体" w:cs="宋体"/>
          <w:szCs w:val="21"/>
          <w:lang w:val="zh-CN"/>
        </w:rPr>
      </w:pPr>
      <w:r>
        <w:rPr>
          <w:rFonts w:hint="eastAsia" w:ascii="宋体" w:hAnsi="宋体" w:cs="宋体"/>
          <w:szCs w:val="21"/>
          <w:lang w:val="zh-CN"/>
        </w:rPr>
        <w:t>4、成交供应商应具有仓储配送能力，具备满足本项目配送需求的运输车辆，保证准时、准点将货物妥善送达采购人指定交货地点，并负责货物的运输、搬运及装卸等服务工作及由此产生的一切费用也由成交供应商负责。</w:t>
      </w:r>
    </w:p>
    <w:p w14:paraId="2F78B1F3">
      <w:pPr>
        <w:widowControl/>
        <w:spacing w:line="440" w:lineRule="exact"/>
        <w:ind w:firstLine="420" w:firstLineChars="200"/>
        <w:rPr>
          <w:rFonts w:ascii="宋体" w:hAnsi="宋体" w:cs="宋体"/>
          <w:szCs w:val="21"/>
          <w:lang w:val="zh-CN"/>
        </w:rPr>
      </w:pPr>
      <w:r>
        <w:rPr>
          <w:rFonts w:hint="eastAsia" w:ascii="宋体" w:hAnsi="宋体" w:cs="宋体"/>
          <w:szCs w:val="21"/>
          <w:lang w:val="zh-CN"/>
        </w:rPr>
        <w:t>5、在货物交付采购人之前的运输安全及保管工作由成交供应商自行负责。</w:t>
      </w:r>
    </w:p>
    <w:p w14:paraId="670EC52B">
      <w:pPr>
        <w:widowControl/>
        <w:adjustRightInd w:val="0"/>
        <w:spacing w:line="440" w:lineRule="exact"/>
        <w:ind w:firstLine="420" w:firstLineChars="200"/>
        <w:jc w:val="left"/>
        <w:rPr>
          <w:rFonts w:ascii="宋体" w:hAnsi="宋体" w:cs="宋体"/>
          <w:szCs w:val="21"/>
          <w:lang w:val="zh-CN"/>
        </w:rPr>
      </w:pPr>
      <w:r>
        <w:rPr>
          <w:rFonts w:hint="eastAsia" w:ascii="宋体" w:hAnsi="宋体" w:cs="宋体"/>
          <w:szCs w:val="21"/>
          <w:lang w:val="zh-CN"/>
        </w:rPr>
        <w:t>6、成交供应商须配合采购人按采购产品的要求，有计划的进行供货，所有物品成交供应商应根据采购人的特殊性进行储备。</w:t>
      </w:r>
    </w:p>
    <w:p w14:paraId="5FB848D6">
      <w:pPr>
        <w:widowControl/>
        <w:adjustRightInd w:val="0"/>
        <w:spacing w:line="440" w:lineRule="exact"/>
        <w:ind w:firstLine="420" w:firstLineChars="200"/>
        <w:jc w:val="left"/>
        <w:rPr>
          <w:rFonts w:ascii="宋体" w:hAnsi="宋体" w:cs="宋体"/>
          <w:szCs w:val="21"/>
          <w:lang w:val="zh-CN"/>
        </w:rPr>
      </w:pPr>
      <w:r>
        <w:rPr>
          <w:rFonts w:hint="eastAsia" w:ascii="宋体" w:hAnsi="宋体" w:cs="宋体"/>
          <w:szCs w:val="21"/>
          <w:lang w:val="zh-CN"/>
        </w:rPr>
        <w:t>7、</w:t>
      </w:r>
      <w:r>
        <w:rPr>
          <w:rFonts w:hint="eastAsia" w:ascii="宋体" w:hAnsi="宋体" w:cs="宋体"/>
          <w:szCs w:val="21"/>
        </w:rPr>
        <w:t>采购人</w:t>
      </w:r>
      <w:r>
        <w:rPr>
          <w:rFonts w:hint="eastAsia" w:ascii="宋体" w:hAnsi="宋体" w:cs="宋体"/>
          <w:szCs w:val="21"/>
          <w:lang w:val="zh-CN"/>
        </w:rPr>
        <w:t>以书面</w:t>
      </w:r>
      <w:r>
        <w:rPr>
          <w:rFonts w:hint="eastAsia" w:ascii="宋体" w:hAnsi="宋体" w:cs="宋体"/>
          <w:szCs w:val="21"/>
        </w:rPr>
        <w:t>、微信或</w:t>
      </w:r>
      <w:r>
        <w:rPr>
          <w:rFonts w:hint="eastAsia" w:ascii="宋体" w:hAnsi="宋体" w:cs="宋体"/>
          <w:szCs w:val="21"/>
          <w:lang w:val="zh-CN"/>
        </w:rPr>
        <w:t>电话</w:t>
      </w:r>
      <w:r>
        <w:rPr>
          <w:rFonts w:hint="eastAsia" w:ascii="宋体" w:hAnsi="宋体" w:cs="宋体"/>
          <w:szCs w:val="21"/>
        </w:rPr>
        <w:t>等</w:t>
      </w:r>
      <w:r>
        <w:rPr>
          <w:rFonts w:hint="eastAsia" w:ascii="宋体" w:hAnsi="宋体" w:cs="宋体"/>
          <w:szCs w:val="21"/>
          <w:lang w:val="zh-CN"/>
        </w:rPr>
        <w:t>通知</w:t>
      </w:r>
      <w:r>
        <w:rPr>
          <w:rFonts w:hint="eastAsia" w:ascii="宋体" w:hAnsi="宋体" w:cs="宋体"/>
          <w:szCs w:val="21"/>
        </w:rPr>
        <w:t>方式进行下单</w:t>
      </w:r>
      <w:r>
        <w:rPr>
          <w:rFonts w:hint="eastAsia" w:ascii="宋体" w:hAnsi="宋体" w:cs="宋体"/>
          <w:szCs w:val="21"/>
          <w:lang w:val="zh-CN"/>
        </w:rPr>
        <w:t>，成交供应商在收到通知后，由成交供应商用符合国家规定的运输工具，按通知中规定的数量、交货地点等要求送达并卸至指定的地点。如遇特殊情况，成交供应商须配合医院紧急用气的需求。交货时将对实际供货情况作记录，并由双方签字确认。</w:t>
      </w:r>
    </w:p>
    <w:p w14:paraId="447C4A76">
      <w:pPr>
        <w:tabs>
          <w:tab w:val="left" w:pos="720"/>
        </w:tabs>
        <w:autoSpaceDE w:val="0"/>
        <w:autoSpaceDN w:val="0"/>
        <w:adjustRightInd w:val="0"/>
        <w:snapToGrid w:val="0"/>
        <w:spacing w:line="440" w:lineRule="exact"/>
        <w:ind w:firstLine="420" w:firstLineChars="200"/>
        <w:textAlignment w:val="baseline"/>
        <w:rPr>
          <w:rFonts w:ascii="宋体" w:hAnsi="宋体" w:cs="宋体"/>
          <w:szCs w:val="21"/>
        </w:rPr>
      </w:pPr>
      <w:r>
        <w:rPr>
          <w:rFonts w:hint="eastAsia" w:ascii="宋体" w:hAnsi="宋体" w:cs="宋体"/>
          <w:szCs w:val="21"/>
        </w:rPr>
        <w:t>8、成交供应商不按照规定时间将货物送达至采购人指定地点或送达货物不合格，质量存在问题的，每次扣罚500元，逾期3次以上的，采购人有权单方面终止合同，同时</w:t>
      </w:r>
      <w:r>
        <w:rPr>
          <w:rFonts w:hint="eastAsia" w:ascii="宋体" w:hAnsi="宋体" w:cs="宋体"/>
          <w:szCs w:val="21"/>
          <w:lang w:val="zh-CN"/>
        </w:rPr>
        <w:t>承担由此带来的一切经济赔偿与法律责任。</w:t>
      </w:r>
    </w:p>
    <w:p w14:paraId="7BE38A8C">
      <w:pPr>
        <w:widowControl/>
        <w:tabs>
          <w:tab w:val="left" w:pos="900"/>
          <w:tab w:val="left" w:pos="1140"/>
        </w:tabs>
        <w:spacing w:line="440" w:lineRule="exact"/>
        <w:ind w:firstLine="420" w:firstLineChars="200"/>
        <w:jc w:val="lef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二</w:t>
      </w:r>
      <w:r>
        <w:rPr>
          <w:rFonts w:hint="eastAsia" w:ascii="宋体" w:hAnsi="宋体" w:cs="宋体"/>
          <w:szCs w:val="21"/>
          <w:lang w:val="zh-CN"/>
        </w:rPr>
        <w:t>）验收要求</w:t>
      </w:r>
    </w:p>
    <w:p w14:paraId="5477EDCD">
      <w:pPr>
        <w:widowControl/>
        <w:spacing w:line="440" w:lineRule="exact"/>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、成交供应商在送货时需向采购人提交该批次医用氧检验报告书及送货单。检验按国家医用气体相关规定进行，对检验不合格的货物，采购人拒绝接收，并且承担由此产生的一切费用。</w:t>
      </w:r>
    </w:p>
    <w:p w14:paraId="51A59FA9">
      <w:pPr>
        <w:widowControl/>
        <w:spacing w:line="440" w:lineRule="exact"/>
        <w:ind w:firstLine="420" w:firstLineChars="200"/>
        <w:jc w:val="left"/>
        <w:rPr>
          <w:rFonts w:ascii="宋体" w:hAnsi="宋体" w:cs="宋体"/>
          <w:szCs w:val="21"/>
          <w:lang w:val="zh-CN"/>
        </w:rPr>
      </w:pPr>
      <w:r>
        <w:rPr>
          <w:rFonts w:hint="eastAsia" w:ascii="宋体" w:hAnsi="宋体" w:cs="宋体"/>
          <w:szCs w:val="21"/>
          <w:lang w:val="zh-CN"/>
        </w:rPr>
        <w:t>2、采购人按国家有关规定、规范进行验收，必要时邀请相关的专业人员或机构参与验收。因货物质量问题发生争议时，由广东省或广州市质检部门进行质量鉴定。采购人与成交供应商认为有需要，可以共同提出或分别提出质量鉴定，广东省质检部门与广州市质检部门的鉴定结论不一致的，以广东省质检部门的鉴定结论为准。产品符合质量标准的，鉴定费由采购人承担；产品不符合质量标准的，鉴定费由成交供应商承担。</w:t>
      </w:r>
    </w:p>
    <w:p w14:paraId="10327151">
      <w:pPr>
        <w:widowControl/>
        <w:spacing w:line="440" w:lineRule="exact"/>
        <w:ind w:firstLine="420" w:firstLineChars="200"/>
        <w:jc w:val="left"/>
        <w:rPr>
          <w:rFonts w:ascii="宋体" w:hAnsi="宋体" w:cs="宋体"/>
          <w:szCs w:val="21"/>
          <w:lang w:val="zh-CN"/>
        </w:rPr>
      </w:pPr>
      <w:r>
        <w:rPr>
          <w:rFonts w:hint="eastAsia" w:ascii="宋体" w:hAnsi="宋体" w:cs="宋体"/>
          <w:szCs w:val="21"/>
          <w:lang w:val="zh-CN"/>
        </w:rPr>
        <w:t>3、</w:t>
      </w:r>
      <w:r>
        <w:rPr>
          <w:rFonts w:hint="eastAsia" w:ascii="宋体" w:hAnsi="宋体" w:cs="宋体"/>
          <w:szCs w:val="21"/>
        </w:rPr>
        <w:t>成交供应商供货时需严格按照采购人下达货物清单为准，需符合文件规定的产品质量和要求</w:t>
      </w:r>
      <w:r>
        <w:rPr>
          <w:rFonts w:hint="eastAsia" w:ascii="宋体" w:hAnsi="宋体" w:cs="宋体"/>
          <w:szCs w:val="21"/>
          <w:lang w:val="zh-CN"/>
        </w:rPr>
        <w:t>，</w:t>
      </w:r>
      <w:r>
        <w:rPr>
          <w:rFonts w:hint="eastAsia" w:ascii="宋体" w:hAnsi="宋体" w:cs="宋体"/>
          <w:szCs w:val="21"/>
        </w:rPr>
        <w:t>若提供货物不符合要求，</w:t>
      </w:r>
      <w:r>
        <w:rPr>
          <w:rFonts w:hint="eastAsia" w:ascii="宋体" w:hAnsi="宋体" w:cs="宋体"/>
          <w:szCs w:val="21"/>
          <w:lang w:val="zh-CN"/>
        </w:rPr>
        <w:t>采购人有权按违约处理,且成交供应商需赔偿因此给采购人带来的损失和一切后果与责任。</w:t>
      </w:r>
    </w:p>
    <w:p w14:paraId="0F97AFB5">
      <w:pPr>
        <w:widowControl/>
        <w:spacing w:line="440" w:lineRule="exact"/>
        <w:ind w:firstLine="420" w:firstLineChars="200"/>
        <w:rPr>
          <w:rFonts w:ascii="宋体" w:hAnsi="宋体" w:cs="宋体"/>
          <w:szCs w:val="21"/>
          <w:lang w:val="zh-CN"/>
        </w:rPr>
      </w:pPr>
      <w:r>
        <w:rPr>
          <w:rFonts w:hint="eastAsia" w:ascii="宋体" w:hAnsi="宋体" w:cs="宋体"/>
          <w:szCs w:val="21"/>
          <w:lang w:val="zh-CN"/>
        </w:rPr>
        <w:t>4、属于国家强制性产品认证目录内的产品，在供货验收时成交供应商必须提供所有此类产品的3C认证证书复印件并加盖制造商公章；若未能提供属于国家强制性产品认证目录内的产品的3C认证证书复印件则按成交供应商违约处理。</w:t>
      </w:r>
    </w:p>
    <w:p w14:paraId="335CA95C">
      <w:pPr>
        <w:widowControl/>
        <w:spacing w:line="440" w:lineRule="exact"/>
        <w:jc w:val="left"/>
        <w:rPr>
          <w:rFonts w:ascii="宋体" w:hAnsi="宋体" w:cs="宋体"/>
          <w:b/>
          <w:bCs/>
          <w:szCs w:val="21"/>
        </w:rPr>
      </w:pPr>
      <w:r>
        <w:rPr>
          <w:rFonts w:hint="eastAsia" w:ascii="宋体" w:hAnsi="宋体" w:cs="宋体"/>
          <w:b/>
          <w:bCs/>
          <w:szCs w:val="21"/>
        </w:rPr>
        <w:t>八、售后服务和应急、安全生产要求</w:t>
      </w:r>
    </w:p>
    <w:p w14:paraId="55FEF1F5">
      <w:pPr>
        <w:widowControl/>
        <w:spacing w:line="440" w:lineRule="exact"/>
        <w:ind w:firstLine="420" w:firstLineChars="200"/>
        <w:rPr>
          <w:rFonts w:ascii="宋体" w:hAnsi="宋体" w:cs="宋体"/>
          <w:szCs w:val="21"/>
          <w:lang w:val="zh-CN"/>
        </w:rPr>
      </w:pPr>
      <w:r>
        <w:rPr>
          <w:rFonts w:hint="eastAsia" w:ascii="宋体" w:hAnsi="宋体" w:cs="宋体"/>
          <w:szCs w:val="21"/>
          <w:lang w:val="zh-CN"/>
        </w:rPr>
        <w:t>1、在《中华人民共和国药典》（20</w:t>
      </w:r>
      <w:r>
        <w:rPr>
          <w:rFonts w:hint="eastAsia" w:ascii="宋体" w:hAnsi="宋体" w:cs="宋体"/>
          <w:szCs w:val="21"/>
        </w:rPr>
        <w:t>20</w:t>
      </w:r>
      <w:r>
        <w:rPr>
          <w:rFonts w:hint="eastAsia" w:ascii="宋体" w:hAnsi="宋体" w:cs="宋体"/>
          <w:szCs w:val="21"/>
          <w:lang w:val="zh-CN"/>
        </w:rPr>
        <w:t>年版）标准规定的质保期内，成交供应商对所供的医用氧由于制造或材料缺陷而发生的任何损失负责。由于成交供应商所供医用</w:t>
      </w:r>
      <w:r>
        <w:rPr>
          <w:rFonts w:hint="eastAsia" w:ascii="宋体" w:hAnsi="宋体" w:cs="宋体"/>
          <w:szCs w:val="21"/>
        </w:rPr>
        <w:t>气体</w:t>
      </w:r>
      <w:r>
        <w:rPr>
          <w:rFonts w:hint="eastAsia" w:ascii="宋体" w:hAnsi="宋体" w:cs="宋体"/>
          <w:szCs w:val="21"/>
          <w:lang w:val="zh-CN"/>
        </w:rPr>
        <w:t>质量问题而导致的医疗纠纷及经济损失，由成交供应商承担全部责任及全额赔偿，采购人有权保留追究成交供应商相关责任并终止合同。</w:t>
      </w:r>
    </w:p>
    <w:p w14:paraId="351C2A55">
      <w:pPr>
        <w:widowControl/>
        <w:spacing w:line="440" w:lineRule="exact"/>
        <w:ind w:firstLine="420" w:firstLineChars="200"/>
        <w:jc w:val="left"/>
        <w:rPr>
          <w:rFonts w:ascii="宋体" w:hAnsi="宋体" w:cs="宋体"/>
          <w:szCs w:val="21"/>
          <w:lang w:val="zh-CN"/>
        </w:rPr>
      </w:pPr>
      <w:r>
        <w:rPr>
          <w:rFonts w:hint="eastAsia" w:ascii="宋体" w:hAnsi="宋体" w:cs="宋体"/>
          <w:szCs w:val="21"/>
          <w:lang w:val="zh-CN"/>
        </w:rPr>
        <w:t>2、成交供应商应有稳定售后服务机构（点）或部门，质保期内指派专人负责与采购人联系售后服务事宜，提供每周7×24小时服务专线和长期的免费技术支持。如需紧急维修，应在2小时或以内响应到现场处理。</w:t>
      </w:r>
    </w:p>
    <w:p w14:paraId="3511B56F">
      <w:pPr>
        <w:widowControl/>
        <w:spacing w:line="440" w:lineRule="exact"/>
        <w:ind w:firstLine="420" w:firstLineChars="200"/>
        <w:jc w:val="left"/>
        <w:rPr>
          <w:rFonts w:ascii="宋体" w:hAnsi="宋体" w:cs="宋体"/>
          <w:szCs w:val="21"/>
          <w:lang w:val="zh-CN"/>
        </w:rPr>
      </w:pPr>
      <w:r>
        <w:rPr>
          <w:rFonts w:hint="eastAsia" w:ascii="宋体" w:hAnsi="宋体" w:cs="宋体"/>
          <w:szCs w:val="21"/>
          <w:lang w:val="zh-CN"/>
        </w:rPr>
        <w:t>3、成交供应商提供的产品如出现质量问题、气瓶漏气等，应在收到采购人通知后2小时</w:t>
      </w:r>
      <w:r>
        <w:rPr>
          <w:rFonts w:hint="eastAsia" w:ascii="宋体" w:hAnsi="宋体" w:cs="宋体"/>
          <w:szCs w:val="21"/>
        </w:rPr>
        <w:t>之</w:t>
      </w:r>
      <w:r>
        <w:rPr>
          <w:rFonts w:hint="eastAsia" w:ascii="宋体" w:hAnsi="宋体" w:cs="宋体"/>
          <w:szCs w:val="21"/>
          <w:lang w:val="zh-CN"/>
        </w:rPr>
        <w:t>内给予免费更换，否则，采购人有权拒付该批货物的货款。</w:t>
      </w:r>
    </w:p>
    <w:p w14:paraId="4AB1AACC">
      <w:pPr>
        <w:widowControl/>
        <w:spacing w:line="440" w:lineRule="exact"/>
        <w:ind w:firstLine="420" w:firstLineChars="200"/>
        <w:jc w:val="left"/>
        <w:rPr>
          <w:rFonts w:ascii="宋体" w:hAnsi="宋体" w:cs="宋体"/>
          <w:szCs w:val="21"/>
          <w:lang w:val="zh-CN"/>
        </w:rPr>
      </w:pPr>
      <w:r>
        <w:rPr>
          <w:rFonts w:hint="eastAsia" w:ascii="宋体" w:hAnsi="宋体" w:cs="宋体"/>
          <w:szCs w:val="21"/>
          <w:lang w:val="zh-CN"/>
        </w:rPr>
        <w:t>4、在质保期内，如出现成交供应商维保服务不到位而导致出现安全责任事故及财物损失的，由成交供应商承担一切损失与后果。</w:t>
      </w:r>
    </w:p>
    <w:p w14:paraId="665E5D53">
      <w:pPr>
        <w:widowControl/>
        <w:spacing w:line="440" w:lineRule="exact"/>
        <w:ind w:firstLine="420" w:firstLineChars="200"/>
        <w:rPr>
          <w:rFonts w:ascii="宋体" w:hAnsi="宋体" w:cs="宋体"/>
          <w:szCs w:val="21"/>
          <w:lang w:val="zh-CN"/>
        </w:rPr>
      </w:pPr>
      <w:r>
        <w:rPr>
          <w:rFonts w:hint="eastAsia" w:ascii="宋体" w:hAnsi="宋体" w:cs="宋体"/>
          <w:szCs w:val="21"/>
          <w:lang w:val="zh-CN"/>
        </w:rPr>
        <w:t>5、成交供应商应为采购人的气体容器及供气设备的维修及检测提供免费运输服务，为采购人供气设备的维修保养提供免费技术支持。成交供应商需按时按采购人的要求提供医用气体，不能以任何理由延误或断供，否则成交供应商负全部责任。</w:t>
      </w:r>
    </w:p>
    <w:p w14:paraId="148E8916">
      <w:pPr>
        <w:widowControl/>
        <w:spacing w:line="440" w:lineRule="exact"/>
        <w:ind w:firstLine="420" w:firstLineChars="200"/>
        <w:rPr>
          <w:rFonts w:ascii="宋体" w:hAnsi="宋体" w:cs="宋体"/>
          <w:szCs w:val="21"/>
          <w:lang w:val="zh-CN"/>
        </w:rPr>
      </w:pPr>
      <w:r>
        <w:rPr>
          <w:rFonts w:hint="eastAsia" w:ascii="宋体" w:hAnsi="宋体" w:cs="宋体"/>
          <w:szCs w:val="21"/>
          <w:lang w:val="zh-CN"/>
        </w:rPr>
        <w:t>6、供应商承诺针对采购人整个氧气供应系统提供建设性指导方案。供气系统的操作规程及安全知识培训，相关应用技术支持。根据采购人需求，中标供应商应免费配合协助采购人提供有关人员技术培训和应急演练知识培训，以熟练掌握各种设备和软件等常规使用方法和故障的判断与解决，及相关的防火消防和液氧泄漏应急演练。必要时，为采购人提供用气指导有关服务。</w:t>
      </w:r>
    </w:p>
    <w:p w14:paraId="3D7AB5C1">
      <w:pPr>
        <w:widowControl/>
        <w:spacing w:line="440" w:lineRule="exact"/>
        <w:ind w:firstLine="420" w:firstLineChars="200"/>
        <w:rPr>
          <w:rFonts w:ascii="宋体" w:hAnsi="宋体" w:cs="宋体"/>
          <w:szCs w:val="21"/>
        </w:rPr>
      </w:pPr>
      <w:r>
        <w:rPr>
          <w:rFonts w:hint="eastAsia" w:ascii="宋体" w:hAnsi="宋体" w:cs="宋体"/>
          <w:szCs w:val="21"/>
        </w:rPr>
        <w:t>7、当采购人发生紧急用气时，成交供应商需紧急响应，在3小时内将产品送到指定地点，特殊天气应急供氧优先满足采购人需要。同时保障采购人指定时间供应要求，如指定当天上午或其他某个时间。</w:t>
      </w:r>
    </w:p>
    <w:p w14:paraId="73D83F0B">
      <w:pPr>
        <w:widowControl/>
        <w:spacing w:line="440" w:lineRule="exact"/>
        <w:ind w:firstLine="420" w:firstLineChars="200"/>
        <w:rPr>
          <w:rFonts w:ascii="宋体" w:hAnsi="宋体" w:cs="宋体"/>
          <w:szCs w:val="21"/>
          <w:lang w:val="zh-CN"/>
        </w:rPr>
      </w:pPr>
      <w:r>
        <w:rPr>
          <w:rFonts w:hint="eastAsia" w:ascii="宋体" w:hAnsi="宋体" w:cs="宋体"/>
          <w:szCs w:val="21"/>
        </w:rPr>
        <w:t>8、</w:t>
      </w:r>
      <w:r>
        <w:rPr>
          <w:rFonts w:hint="eastAsia" w:ascii="宋体" w:hAnsi="宋体" w:cs="宋体"/>
          <w:szCs w:val="21"/>
          <w:lang w:val="zh-CN"/>
        </w:rPr>
        <w:t>成交供应商应有健全的安全</w:t>
      </w:r>
      <w:r>
        <w:rPr>
          <w:rFonts w:hint="eastAsia" w:ascii="宋体" w:hAnsi="宋体" w:cs="宋体"/>
          <w:szCs w:val="21"/>
        </w:rPr>
        <w:t>生产和</w:t>
      </w:r>
      <w:r>
        <w:rPr>
          <w:rFonts w:hint="eastAsia" w:ascii="宋体" w:hAnsi="宋体" w:cs="宋体"/>
          <w:szCs w:val="21"/>
          <w:lang w:val="zh-CN"/>
        </w:rPr>
        <w:t>管理制度，对从业人员进行经常性安全生产、职业道德、业务知识和操作规程的教育培训，制定突发事件应急预案，配备应急救援人员和必要的应急救援器材、设备，并定期组织应急救援演练。</w:t>
      </w:r>
    </w:p>
    <w:p w14:paraId="2BFA8580">
      <w:pPr>
        <w:widowControl/>
        <w:spacing w:line="440" w:lineRule="exact"/>
        <w:ind w:firstLine="420" w:firstLineChars="200"/>
        <w:rPr>
          <w:rFonts w:ascii="宋体" w:hAnsi="宋体" w:cs="宋体"/>
          <w:szCs w:val="21"/>
        </w:rPr>
      </w:pPr>
      <w:r>
        <w:rPr>
          <w:rFonts w:hint="eastAsia" w:ascii="宋体" w:hAnsi="宋体" w:cs="宋体"/>
          <w:szCs w:val="21"/>
        </w:rPr>
        <w:t>9、成交供应商在服务期间，应落实安全生产监督主体责任，</w:t>
      </w:r>
      <w:r>
        <w:rPr>
          <w:rFonts w:hint="eastAsia" w:ascii="宋体" w:hAnsi="宋体" w:cs="宋体"/>
          <w:szCs w:val="21"/>
          <w:lang w:val="zh-CN"/>
        </w:rPr>
        <w:t>不得影响采购人工作和安全，若成交供应商未能履行安全职责原因造成采购人安全事故或人员伤亡的，成交供应商自行承担由此带来的一切经济赔偿与法律责任。</w:t>
      </w:r>
    </w:p>
    <w:p w14:paraId="4CE91B4C">
      <w:pPr>
        <w:widowControl/>
        <w:spacing w:line="440" w:lineRule="exact"/>
        <w:rPr>
          <w:rFonts w:ascii="宋体" w:hAnsi="宋体" w:cs="宋体"/>
          <w:b/>
          <w:bCs/>
          <w:szCs w:val="21"/>
        </w:rPr>
      </w:pPr>
      <w:r>
        <w:rPr>
          <w:rFonts w:hint="eastAsia" w:ascii="宋体" w:hAnsi="宋体" w:cs="宋体"/>
          <w:b/>
          <w:bCs/>
          <w:szCs w:val="21"/>
        </w:rPr>
        <w:t>九、其他服务要求</w:t>
      </w:r>
    </w:p>
    <w:p w14:paraId="2FCE4147">
      <w:pPr>
        <w:widowControl/>
        <w:spacing w:line="4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成交供应商需在供货期间至</w:t>
      </w:r>
      <w:r>
        <w:rPr>
          <w:rFonts w:hint="eastAsia" w:ascii="宋体" w:hAnsi="宋体" w:cs="宋体"/>
          <w:szCs w:val="21"/>
          <w:highlight w:val="none"/>
          <w:lang w:val="zh-CN"/>
        </w:rPr>
        <w:t>少提供</w:t>
      </w:r>
      <w:r>
        <w:rPr>
          <w:rFonts w:hint="eastAsia" w:ascii="宋体" w:hAnsi="宋体" w:cs="宋体"/>
          <w:szCs w:val="21"/>
          <w:highlight w:val="none"/>
          <w:lang w:val="en-US" w:eastAsia="zh-CN"/>
        </w:rPr>
        <w:t>50</w:t>
      </w:r>
      <w:r>
        <w:rPr>
          <w:rFonts w:hint="eastAsia" w:ascii="宋体" w:hAnsi="宋体" w:cs="宋体"/>
          <w:szCs w:val="21"/>
          <w:highlight w:val="none"/>
        </w:rPr>
        <w:t>个40L医用氧</w:t>
      </w:r>
      <w:r>
        <w:rPr>
          <w:rFonts w:hint="eastAsia" w:ascii="宋体" w:hAnsi="宋体" w:cs="宋体"/>
          <w:szCs w:val="21"/>
        </w:rPr>
        <w:t>钢瓶供采购人在应急用气点长期备用，采购人不再向成交供应商支付本项目所有气瓶押金等有关费用。</w:t>
      </w:r>
    </w:p>
    <w:p w14:paraId="444B599B">
      <w:pPr>
        <w:widowControl/>
        <w:spacing w:line="440" w:lineRule="exact"/>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成交供应商在供货期内负责包括项目方案、货物供货、软件提供、运输、保管、安装、调试、验收、培训及相关服务等，并提供常用零配件更换（钢瓶常用零配件：瓶阀、手轮、阀杆、阀芯、瓶阀六角，杜瓦罐常用零配件：调节阀、安全阀、截止阀、压力表、液位计、真空防爆片、连接压力软管等配件更换），</w:t>
      </w:r>
      <w:r>
        <w:rPr>
          <w:rFonts w:hint="eastAsia" w:ascii="宋体" w:hAnsi="宋体" w:cs="宋体"/>
          <w:szCs w:val="21"/>
        </w:rPr>
        <w:t>此费用包含在报价费用中</w:t>
      </w:r>
      <w:r>
        <w:rPr>
          <w:rFonts w:hint="eastAsia" w:ascii="宋体" w:hAnsi="宋体" w:cs="宋体"/>
          <w:szCs w:val="21"/>
          <w:lang w:val="zh-CN"/>
        </w:rPr>
        <w:t>。</w:t>
      </w:r>
    </w:p>
    <w:p w14:paraId="7B38AB92">
      <w:pPr>
        <w:widowControl/>
        <w:spacing w:line="440" w:lineRule="exact"/>
        <w:ind w:firstLine="420" w:firstLineChars="200"/>
        <w:rPr>
          <w:rFonts w:ascii="宋体" w:hAnsi="宋体" w:cs="宋体"/>
          <w:szCs w:val="21"/>
        </w:rPr>
      </w:pPr>
      <w:r>
        <w:rPr>
          <w:rFonts w:hint="eastAsia" w:ascii="宋体" w:hAnsi="宋体" w:cs="宋体"/>
          <w:szCs w:val="21"/>
        </w:rPr>
        <w:t>3、当采购人使用科室因临床需要指定使用某一种气体时，</w:t>
      </w:r>
      <w:r>
        <w:rPr>
          <w:rFonts w:hint="eastAsia" w:ascii="宋体" w:hAnsi="宋体" w:cs="宋体"/>
          <w:szCs w:val="21"/>
          <w:lang w:val="zh-CN"/>
        </w:rPr>
        <w:t>成交</w:t>
      </w:r>
      <w:r>
        <w:rPr>
          <w:rFonts w:hint="eastAsia" w:ascii="宋体" w:hAnsi="宋体" w:cs="宋体"/>
          <w:szCs w:val="21"/>
        </w:rPr>
        <w:t>供应商有责任协助采购人联系购买、运送该品牌的气体，以保证采购人临床科室需要。</w:t>
      </w:r>
    </w:p>
    <w:p w14:paraId="51E21379">
      <w:pPr>
        <w:tabs>
          <w:tab w:val="left" w:pos="720"/>
        </w:tabs>
        <w:autoSpaceDE w:val="0"/>
        <w:autoSpaceDN w:val="0"/>
        <w:adjustRightInd w:val="0"/>
        <w:snapToGrid w:val="0"/>
        <w:spacing w:line="440" w:lineRule="exact"/>
        <w:ind w:firstLine="420" w:firstLineChars="200"/>
        <w:textAlignment w:val="baseline"/>
        <w:rPr>
          <w:rFonts w:ascii="宋体" w:hAnsi="宋体" w:cs="宋体"/>
          <w:szCs w:val="21"/>
        </w:rPr>
      </w:pPr>
      <w:r>
        <w:rPr>
          <w:rFonts w:hint="eastAsia" w:ascii="宋体" w:hAnsi="宋体" w:cs="宋体"/>
          <w:szCs w:val="21"/>
        </w:rPr>
        <w:t>4、</w:t>
      </w:r>
      <w:r>
        <w:rPr>
          <w:rFonts w:hint="eastAsia" w:ascii="宋体" w:hAnsi="宋体" w:cs="宋体"/>
          <w:szCs w:val="21"/>
          <w:lang w:val="zh-CN"/>
        </w:rPr>
        <w:t>成交供应商应为本项目投入专业的生产人员、充装人员及运输人员等主要服务人员，具备相应经验、实力及有良好的服务态度及沟通能力；并应指派一名具有丰富同类项目服务及管理经验的人员为项目负责人，负责本项目的全过程跟踪管理及联系沟通等工作。</w:t>
      </w:r>
      <w:r>
        <w:rPr>
          <w:rFonts w:hint="eastAsia" w:ascii="宋体" w:hAnsi="宋体" w:cs="宋体"/>
          <w:szCs w:val="21"/>
        </w:rPr>
        <w:t>因采购人监管要求，成交供应商所委派的运输人员及现场负责人应相对固定，不得随意更换，同时成交供应商在服务开始前提供服务人员清单和有关证件信息到采购人处备案，配合采购人办理有关监管手续，无条件遵守采购人相关管理规定和纪律保密要求。</w:t>
      </w:r>
    </w:p>
    <w:p w14:paraId="649EA854">
      <w:pPr>
        <w:widowControl/>
        <w:tabs>
          <w:tab w:val="left" w:pos="3210"/>
        </w:tabs>
        <w:spacing w:line="440" w:lineRule="exact"/>
        <w:jc w:val="left"/>
        <w:rPr>
          <w:rFonts w:ascii="宋体" w:hAnsi="宋体" w:cs="宋体"/>
          <w:b/>
          <w:bCs/>
          <w:szCs w:val="21"/>
          <w:lang w:val="zh-CN"/>
        </w:rPr>
      </w:pPr>
      <w:r>
        <w:rPr>
          <w:rFonts w:hint="eastAsia" w:ascii="宋体" w:hAnsi="宋体" w:cs="宋体"/>
          <w:b/>
          <w:bCs/>
          <w:szCs w:val="21"/>
        </w:rPr>
        <w:t>十、结算</w:t>
      </w:r>
      <w:r>
        <w:rPr>
          <w:rFonts w:hint="eastAsia" w:ascii="宋体" w:hAnsi="宋体" w:cs="宋体"/>
          <w:b/>
          <w:bCs/>
          <w:szCs w:val="21"/>
          <w:lang w:val="zh-CN"/>
        </w:rPr>
        <w:t>方式</w:t>
      </w:r>
    </w:p>
    <w:p w14:paraId="74D69E4E">
      <w:pPr>
        <w:widowControl/>
        <w:spacing w:line="440" w:lineRule="exact"/>
        <w:ind w:firstLine="420" w:firstLineChars="200"/>
        <w:rPr>
          <w:rFonts w:ascii="宋体" w:hAnsi="宋体" w:cs="宋体"/>
          <w:szCs w:val="21"/>
          <w:lang w:val="zh-CN"/>
        </w:rPr>
      </w:pPr>
      <w:r>
        <w:rPr>
          <w:rFonts w:hint="eastAsia" w:ascii="宋体" w:hAnsi="宋体" w:cs="宋体"/>
          <w:szCs w:val="21"/>
        </w:rPr>
        <w:t>（1）本项目每月据实结算</w:t>
      </w:r>
      <w:r>
        <w:rPr>
          <w:rFonts w:hint="eastAsia" w:ascii="宋体" w:hAnsi="宋体" w:cs="宋体"/>
          <w:szCs w:val="21"/>
          <w:lang w:val="zh-CN"/>
        </w:rPr>
        <w:t>。每种气体的结算价格＝气体的单价最高限价×中标折扣率×经采购人确认的实际供货量。</w:t>
      </w:r>
    </w:p>
    <w:p w14:paraId="1DA461F6">
      <w:pPr>
        <w:widowControl/>
        <w:spacing w:line="440" w:lineRule="exact"/>
        <w:ind w:firstLine="420" w:firstLineChars="200"/>
        <w:rPr>
          <w:rFonts w:ascii="宋体" w:hAnsi="宋体" w:cs="宋体"/>
          <w:szCs w:val="21"/>
        </w:rPr>
      </w:pPr>
      <w:r>
        <w:rPr>
          <w:rFonts w:hint="eastAsia" w:ascii="宋体" w:hAnsi="宋体" w:cs="宋体"/>
          <w:szCs w:val="21"/>
        </w:rPr>
        <w:t>（2）成交供应商</w:t>
      </w:r>
      <w:r>
        <w:rPr>
          <w:rFonts w:hint="eastAsia" w:ascii="宋体" w:hAnsi="宋体" w:cs="宋体"/>
          <w:szCs w:val="21"/>
          <w:lang w:val="zh-CN"/>
        </w:rPr>
        <w:t>须凭以下有效文件与采购人结算：①经采购人确认的付款当期的费用明细清单及相关证明；②</w:t>
      </w:r>
      <w:r>
        <w:rPr>
          <w:rFonts w:hint="eastAsia" w:ascii="宋体" w:hAnsi="宋体" w:cs="宋体"/>
          <w:szCs w:val="21"/>
        </w:rPr>
        <w:t>成交供应商</w:t>
      </w:r>
      <w:r>
        <w:rPr>
          <w:rFonts w:hint="eastAsia" w:ascii="宋体" w:hAnsi="宋体" w:cs="宋体"/>
          <w:szCs w:val="21"/>
          <w:lang w:val="zh-CN"/>
        </w:rPr>
        <w:t>开具的等额正式发票；③采购人认为需要提交的其他资料。中标供应商</w:t>
      </w:r>
      <w:r>
        <w:rPr>
          <w:rFonts w:hint="eastAsia" w:ascii="宋体" w:hAnsi="宋体" w:cs="宋体"/>
          <w:szCs w:val="21"/>
        </w:rPr>
        <w:t>在每月10日前提供上一个月经确认后的等额正式发票等结算资料交由采购人，采购人在收到</w:t>
      </w:r>
      <w:r>
        <w:rPr>
          <w:rFonts w:hint="eastAsia" w:ascii="宋体" w:hAnsi="宋体" w:cs="宋体"/>
          <w:szCs w:val="21"/>
          <w:lang w:val="zh-CN"/>
        </w:rPr>
        <w:t>中标供应商</w:t>
      </w:r>
      <w:r>
        <w:rPr>
          <w:rFonts w:hint="eastAsia" w:ascii="宋体" w:hAnsi="宋体" w:cs="宋体"/>
          <w:szCs w:val="21"/>
        </w:rPr>
        <w:t>完整结算资料后15个工作日内按规定办理财政支付手续。</w:t>
      </w:r>
    </w:p>
    <w:p w14:paraId="7A5EEBF4">
      <w:pPr>
        <w:autoSpaceDE w:val="0"/>
        <w:autoSpaceDN w:val="0"/>
        <w:adjustRightInd w:val="0"/>
        <w:rPr>
          <w:rFonts w:ascii="Cambria" w:hAnsi="Cambria"/>
          <w:b/>
          <w:bCs/>
          <w:sz w:val="48"/>
          <w:szCs w:val="48"/>
        </w:rPr>
      </w:pPr>
      <w:r>
        <w:rPr>
          <w:rFonts w:ascii="Cambria" w:hAnsi="Cambria"/>
          <w:b/>
          <w:bCs/>
          <w:sz w:val="48"/>
          <w:szCs w:val="48"/>
        </w:rPr>
        <w:br w:type="page"/>
      </w:r>
    </w:p>
    <w:p w14:paraId="318DE2E2">
      <w:pPr>
        <w:autoSpaceDE w:val="0"/>
        <w:autoSpaceDN w:val="0"/>
        <w:adjustRightInd w:val="0"/>
        <w:rPr>
          <w:rFonts w:ascii="Cambria" w:hAnsi="Cambria"/>
          <w:b/>
          <w:bCs/>
          <w:sz w:val="48"/>
          <w:szCs w:val="48"/>
        </w:rPr>
      </w:pPr>
    </w:p>
    <w:p w14:paraId="36C9AFED">
      <w:pPr>
        <w:autoSpaceDE w:val="0"/>
        <w:autoSpaceDN w:val="0"/>
        <w:adjustRightInd w:val="0"/>
        <w:rPr>
          <w:rFonts w:ascii="Cambria" w:hAnsi="Cambria"/>
          <w:b/>
          <w:bCs/>
          <w:sz w:val="48"/>
          <w:szCs w:val="48"/>
        </w:rPr>
      </w:pPr>
    </w:p>
    <w:p w14:paraId="35910578">
      <w:pPr>
        <w:autoSpaceDE w:val="0"/>
        <w:autoSpaceDN w:val="0"/>
        <w:adjustRightInd w:val="0"/>
        <w:rPr>
          <w:rFonts w:ascii="Cambria" w:hAnsi="Cambria"/>
          <w:b/>
          <w:bCs/>
          <w:sz w:val="48"/>
          <w:szCs w:val="48"/>
        </w:rPr>
      </w:pPr>
    </w:p>
    <w:p w14:paraId="4CE35C24">
      <w:pPr>
        <w:autoSpaceDE w:val="0"/>
        <w:autoSpaceDN w:val="0"/>
        <w:adjustRightInd w:val="0"/>
        <w:rPr>
          <w:rFonts w:ascii="Cambria" w:hAnsi="Cambria"/>
          <w:b/>
          <w:bCs/>
          <w:sz w:val="48"/>
          <w:szCs w:val="48"/>
        </w:rPr>
      </w:pPr>
    </w:p>
    <w:p w14:paraId="43B2D6A0">
      <w:pPr>
        <w:autoSpaceDE w:val="0"/>
        <w:autoSpaceDN w:val="0"/>
        <w:adjustRightInd w:val="0"/>
        <w:rPr>
          <w:rFonts w:ascii="Cambria" w:hAnsi="Cambria"/>
          <w:b/>
          <w:bCs/>
          <w:sz w:val="48"/>
          <w:szCs w:val="48"/>
        </w:rPr>
      </w:pPr>
    </w:p>
    <w:p w14:paraId="20159311">
      <w:pPr>
        <w:autoSpaceDE w:val="0"/>
        <w:autoSpaceDN w:val="0"/>
        <w:adjustRightInd w:val="0"/>
        <w:rPr>
          <w:rFonts w:ascii="Cambria" w:hAnsi="Cambria"/>
          <w:b/>
          <w:bCs/>
          <w:sz w:val="48"/>
          <w:szCs w:val="48"/>
        </w:rPr>
      </w:pPr>
    </w:p>
    <w:p w14:paraId="4E9FF447">
      <w:pPr>
        <w:autoSpaceDE w:val="0"/>
        <w:autoSpaceDN w:val="0"/>
        <w:adjustRightInd w:val="0"/>
        <w:rPr>
          <w:rFonts w:ascii="Cambria" w:hAnsi="Cambria"/>
          <w:b/>
          <w:bCs/>
          <w:sz w:val="48"/>
          <w:szCs w:val="48"/>
        </w:rPr>
      </w:pPr>
    </w:p>
    <w:p w14:paraId="417F1D4E">
      <w:pPr>
        <w:autoSpaceDE w:val="0"/>
        <w:autoSpaceDN w:val="0"/>
        <w:adjustRightInd w:val="0"/>
        <w:rPr>
          <w:rFonts w:ascii="Cambria" w:hAnsi="Cambria"/>
          <w:b/>
          <w:bCs/>
          <w:sz w:val="48"/>
          <w:szCs w:val="48"/>
        </w:rPr>
      </w:pPr>
    </w:p>
    <w:p w14:paraId="09F744EB">
      <w:pPr>
        <w:autoSpaceDE w:val="0"/>
        <w:autoSpaceDN w:val="0"/>
        <w:adjustRightInd w:val="0"/>
        <w:rPr>
          <w:rFonts w:ascii="Cambria" w:hAnsi="Cambria"/>
          <w:b/>
          <w:bCs/>
          <w:sz w:val="48"/>
          <w:szCs w:val="48"/>
        </w:rPr>
      </w:pPr>
    </w:p>
    <w:p w14:paraId="2BCF3592">
      <w:pPr>
        <w:pStyle w:val="2"/>
        <w:jc w:val="center"/>
      </w:pPr>
      <w:bookmarkStart w:id="6" w:name="_Toc9145"/>
      <w:r>
        <w:rPr>
          <w:rFonts w:hint="eastAsia"/>
        </w:rPr>
        <w:t>第三章 竞价须知</w:t>
      </w:r>
      <w:bookmarkEnd w:id="6"/>
    </w:p>
    <w:p w14:paraId="35F8B1D6">
      <w:pPr>
        <w:autoSpaceDE w:val="0"/>
        <w:autoSpaceDN w:val="0"/>
        <w:adjustRightInd w:val="0"/>
        <w:rPr>
          <w:color w:val="333333"/>
          <w:szCs w:val="21"/>
        </w:rPr>
      </w:pPr>
    </w:p>
    <w:p w14:paraId="0C7231D5">
      <w:pPr>
        <w:autoSpaceDE w:val="0"/>
        <w:autoSpaceDN w:val="0"/>
        <w:adjustRightInd w:val="0"/>
        <w:rPr>
          <w:color w:val="333333"/>
          <w:szCs w:val="21"/>
        </w:rPr>
        <w:sectPr>
          <w:pgSz w:w="11906" w:h="16838"/>
          <w:pgMar w:top="1440" w:right="1080" w:bottom="1440" w:left="1080" w:header="851" w:footer="992" w:gutter="0"/>
          <w:cols w:space="720" w:num="1"/>
          <w:docGrid w:type="lines" w:linePitch="312" w:charSpace="0"/>
        </w:sectPr>
      </w:pPr>
    </w:p>
    <w:p w14:paraId="4192A770">
      <w:pPr>
        <w:autoSpaceDE w:val="0"/>
        <w:autoSpaceDN w:val="0"/>
        <w:adjustRightInd w:val="0"/>
        <w:jc w:val="center"/>
        <w:rPr>
          <w:rFonts w:ascii="Cambria" w:hAnsi="Cambria"/>
          <w:b/>
          <w:bCs/>
          <w:sz w:val="32"/>
          <w:szCs w:val="32"/>
        </w:rPr>
      </w:pPr>
      <w:r>
        <w:rPr>
          <w:rFonts w:hint="eastAsia" w:ascii="Cambria" w:hAnsi="Cambria"/>
          <w:b/>
          <w:bCs/>
          <w:sz w:val="32"/>
          <w:szCs w:val="32"/>
        </w:rPr>
        <w:t>竞价须知</w:t>
      </w:r>
    </w:p>
    <w:p w14:paraId="6A13E7D3">
      <w:pPr>
        <w:pStyle w:val="60"/>
        <w:wordWrap w:val="0"/>
        <w:spacing w:before="0" w:beforeAutospacing="0" w:after="0" w:afterAutospacing="0" w:line="360" w:lineRule="auto"/>
        <w:ind w:firstLine="420" w:firstLineChars="200"/>
        <w:jc w:val="both"/>
        <w:outlineLvl w:val="1"/>
        <w:rPr>
          <w:sz w:val="21"/>
          <w:szCs w:val="21"/>
        </w:rPr>
      </w:pPr>
      <w:bookmarkStart w:id="7" w:name="_Hlk21526609"/>
      <w:bookmarkStart w:id="8" w:name="_Hlk21526798"/>
      <w:bookmarkStart w:id="9" w:name="_Hlk21526831"/>
      <w:r>
        <w:rPr>
          <w:rFonts w:hint="eastAsia"/>
          <w:sz w:val="21"/>
          <w:szCs w:val="21"/>
        </w:rPr>
        <w:t>一</w:t>
      </w:r>
      <w:bookmarkEnd w:id="7"/>
      <w:bookmarkEnd w:id="8"/>
      <w:r>
        <w:rPr>
          <w:rFonts w:hint="eastAsia"/>
          <w:color w:val="000000" w:themeColor="text1"/>
          <w:sz w:val="21"/>
          <w:szCs w:val="21"/>
          <w14:textFill>
            <w14:solidFill>
              <w14:schemeClr w14:val="tx1"/>
            </w14:solidFill>
          </w14:textFill>
        </w:rPr>
        <w:t>、本项目通过智采平台（www.365bidding.com）进行竞价，参与竞价的供应商必须登录平台进行注册，注册成功后方可参与项目竞价。</w:t>
      </w:r>
    </w:p>
    <w:p w14:paraId="067BE50F">
      <w:pPr>
        <w:pStyle w:val="60"/>
        <w:wordWrap w:val="0"/>
        <w:spacing w:before="0" w:beforeAutospacing="0" w:after="0" w:afterAutospacing="0" w:line="360" w:lineRule="auto"/>
        <w:ind w:firstLine="422" w:firstLineChars="200"/>
        <w:jc w:val="both"/>
        <w:outlineLvl w:val="1"/>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二、语言要求</w:t>
      </w:r>
    </w:p>
    <w:p w14:paraId="73A0926F">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供应商提交的报价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6E9F1AA">
      <w:pPr>
        <w:wordWrap w:val="0"/>
        <w:spacing w:line="360" w:lineRule="auto"/>
        <w:ind w:firstLine="420" w:firstLineChars="200"/>
        <w:outlineLvl w:val="1"/>
        <w:rPr>
          <w:rFonts w:ascii="宋体" w:hAnsi="宋体" w:cs="宋体"/>
          <w:szCs w:val="21"/>
        </w:rPr>
      </w:pPr>
      <w:r>
        <w:rPr>
          <w:rFonts w:hint="eastAsia" w:ascii="宋体" w:hAnsi="宋体" w:cs="宋体"/>
          <w:color w:val="000000" w:themeColor="text1"/>
          <w:szCs w:val="21"/>
          <w14:textFill>
            <w14:solidFill>
              <w14:schemeClr w14:val="tx1"/>
            </w14:solidFill>
          </w14:textFill>
        </w:rPr>
        <w:t>三、在智采平台参与项目竞价后放弃成交资格超过三次（含三次）的供应商连同该供应商同一法人名下所有公司将被列入平台黑名单，永久不得参与平台的项目竞价。</w:t>
      </w:r>
    </w:p>
    <w:p w14:paraId="7C8E7541">
      <w:pPr>
        <w:wordWrap w:val="0"/>
        <w:spacing w:line="360" w:lineRule="auto"/>
        <w:ind w:firstLine="422" w:firstLineChars="200"/>
        <w:outlineLvl w:val="1"/>
        <w:rPr>
          <w:rFonts w:ascii="宋体" w:hAnsi="宋体" w:cs="宋体"/>
          <w:szCs w:val="21"/>
        </w:rPr>
      </w:pPr>
      <w:r>
        <w:rPr>
          <w:rFonts w:hint="eastAsia" w:ascii="宋体" w:hAnsi="宋体" w:cs="宋体"/>
          <w:b/>
          <w:bCs/>
          <w:color w:val="000000" w:themeColor="text1"/>
          <w:szCs w:val="21"/>
          <w14:textFill>
            <w14:solidFill>
              <w14:schemeClr w14:val="tx1"/>
            </w14:solidFill>
          </w14:textFill>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54CCDEFB">
      <w:pPr>
        <w:wordWrap w:val="0"/>
        <w:spacing w:line="360" w:lineRule="auto"/>
        <w:ind w:firstLine="422" w:firstLineChars="200"/>
        <w:outlineLvl w:val="1"/>
        <w:rPr>
          <w:rFonts w:ascii="宋体" w:hAnsi="宋体" w:cs="宋体"/>
          <w:szCs w:val="21"/>
        </w:rPr>
      </w:pPr>
      <w:r>
        <w:rPr>
          <w:rFonts w:hint="eastAsia" w:ascii="宋体" w:hAnsi="宋体" w:cs="宋体"/>
          <w:b/>
          <w:bCs/>
          <w:color w:val="000000" w:themeColor="text1"/>
          <w:szCs w:val="21"/>
          <w14:textFill>
            <w14:solidFill>
              <w14:schemeClr w14:val="tx1"/>
            </w14:solidFill>
          </w14:textFill>
        </w:rPr>
        <w:t>五、如无正当理由放弃成交资格的供应商连同该供应商同一法人名下所有公司将被列入采购人黑名单，永久不得参与采购人的项目竞价。</w:t>
      </w:r>
    </w:p>
    <w:p w14:paraId="708A4F8C">
      <w:pPr>
        <w:wordWrap w:val="0"/>
        <w:spacing w:line="360" w:lineRule="auto"/>
        <w:ind w:firstLine="422" w:firstLineChars="200"/>
        <w:outlineLvl w:val="1"/>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25D4BDF4">
      <w:pPr>
        <w:pStyle w:val="60"/>
        <w:wordWrap w:val="0"/>
        <w:spacing w:before="0" w:beforeAutospacing="0" w:after="0" w:afterAutospacing="0" w:line="360" w:lineRule="auto"/>
        <w:ind w:firstLine="422" w:firstLineChars="200"/>
        <w:jc w:val="both"/>
        <w:outlineLvl w:val="1"/>
        <w:rPr>
          <w:sz w:val="21"/>
          <w:szCs w:val="21"/>
        </w:rPr>
      </w:pPr>
      <w:r>
        <w:rPr>
          <w:rFonts w:hint="eastAsia"/>
          <w:b/>
          <w:bCs/>
          <w:color w:val="000000" w:themeColor="text1"/>
          <w:sz w:val="21"/>
          <w:szCs w:val="21"/>
          <w14:textFill>
            <w14:solidFill>
              <w14:schemeClr w14:val="tx1"/>
            </w14:solidFill>
          </w14:textFill>
        </w:rPr>
        <w:t>七、竞价须知</w:t>
      </w:r>
    </w:p>
    <w:p w14:paraId="62CD659E">
      <w:pPr>
        <w:pStyle w:val="60"/>
        <w:wordWrap w:val="0"/>
        <w:spacing w:before="0" w:beforeAutospacing="0" w:after="0" w:afterAutospacing="0" w:line="360" w:lineRule="auto"/>
        <w:ind w:firstLine="422" w:firstLineChars="200"/>
        <w:jc w:val="both"/>
        <w:outlineLvl w:val="2"/>
        <w:rPr>
          <w:sz w:val="21"/>
          <w:szCs w:val="21"/>
        </w:rPr>
      </w:pPr>
      <w:r>
        <w:rPr>
          <w:rFonts w:hint="eastAsia"/>
          <w:b/>
          <w:color w:val="000000" w:themeColor="text1"/>
          <w:sz w:val="21"/>
          <w:szCs w:val="21"/>
          <w14:textFill>
            <w14:solidFill>
              <w14:schemeClr w14:val="tx1"/>
            </w14:solidFill>
          </w14:textFill>
        </w:rPr>
        <w:t>(一)</w:t>
      </w:r>
      <w:r>
        <w:rPr>
          <w:rStyle w:val="25"/>
          <w:rFonts w:hint="eastAsia"/>
          <w:color w:val="000000" w:themeColor="text1"/>
          <w:sz w:val="21"/>
          <w:szCs w:val="21"/>
          <w14:textFill>
            <w14:solidFill>
              <w14:schemeClr w14:val="tx1"/>
            </w14:solidFill>
          </w14:textFill>
        </w:rPr>
        <w:t>竞价说明</w:t>
      </w:r>
    </w:p>
    <w:p w14:paraId="211D081A">
      <w:pPr>
        <w:pStyle w:val="60"/>
        <w:tabs>
          <w:tab w:val="left" w:pos="851"/>
        </w:tabs>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1.参与竞价的供应商应承担所有与准备和参加竞价有关的费用，不</w:t>
      </w:r>
      <w:r>
        <w:rPr>
          <w:rFonts w:hint="eastAsia"/>
          <w:color w:val="000000" w:themeColor="text1"/>
          <w:sz w:val="21"/>
          <w:szCs w:val="21"/>
          <w:lang w:eastAsia="zh-TW"/>
          <w14:textFill>
            <w14:solidFill>
              <w14:schemeClr w14:val="tx1"/>
            </w14:solidFill>
          </w14:textFill>
        </w:rPr>
        <w:t>论</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的结果如何</w:t>
      </w:r>
      <w:r>
        <w:rPr>
          <w:rFonts w:hint="eastAsia"/>
          <w:color w:val="000000" w:themeColor="text1"/>
          <w:sz w:val="21"/>
          <w:szCs w:val="21"/>
          <w14:textFill>
            <w14:solidFill>
              <w14:schemeClr w14:val="tx1"/>
            </w14:solidFill>
          </w14:textFill>
        </w:rPr>
        <w:t>，采购</w:t>
      </w:r>
      <w:r>
        <w:rPr>
          <w:rFonts w:hint="eastAsia"/>
          <w:color w:val="000000" w:themeColor="text1"/>
          <w:sz w:val="21"/>
          <w:szCs w:val="21"/>
          <w:lang w:eastAsia="zh-TW"/>
          <w14:textFill>
            <w14:solidFill>
              <w14:schemeClr w14:val="tx1"/>
            </w14:solidFill>
          </w14:textFill>
        </w:rPr>
        <w:t>人</w:t>
      </w:r>
      <w:r>
        <w:rPr>
          <w:rFonts w:hint="eastAsia"/>
          <w:color w:val="000000" w:themeColor="text1"/>
          <w:sz w:val="21"/>
          <w:szCs w:val="21"/>
          <w14:textFill>
            <w14:solidFill>
              <w14:schemeClr w14:val="tx1"/>
            </w14:solidFill>
          </w14:textFill>
        </w:rPr>
        <w:t>和智采平台</w:t>
      </w:r>
      <w:r>
        <w:rPr>
          <w:rFonts w:hint="eastAsia"/>
          <w:color w:val="000000" w:themeColor="text1"/>
          <w:sz w:val="21"/>
          <w:szCs w:val="21"/>
          <w:lang w:eastAsia="zh-TW"/>
          <w14:textFill>
            <w14:solidFill>
              <w14:schemeClr w14:val="tx1"/>
            </w14:solidFill>
          </w14:textFill>
        </w:rPr>
        <w:t>均无义务和责任承担这些费用</w:t>
      </w:r>
      <w:r>
        <w:rPr>
          <w:rFonts w:hint="eastAsia"/>
          <w:color w:val="000000" w:themeColor="text1"/>
          <w:sz w:val="21"/>
          <w:szCs w:val="21"/>
          <w14:textFill>
            <w14:solidFill>
              <w14:schemeClr w14:val="tx1"/>
            </w14:solidFill>
          </w14:textFill>
        </w:rPr>
        <w:t>。</w:t>
      </w:r>
    </w:p>
    <w:p w14:paraId="4749F602">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2.参与竞价的</w:t>
      </w:r>
      <w:r>
        <w:rPr>
          <w:rFonts w:hint="eastAsia"/>
          <w:bCs/>
          <w:color w:val="000000" w:themeColor="text1"/>
          <w:sz w:val="2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53C5749">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3.参与竞价的</w:t>
      </w:r>
      <w:r>
        <w:rPr>
          <w:rFonts w:hint="eastAsia"/>
          <w:color w:val="000000" w:themeColor="text1"/>
          <w:sz w:val="21"/>
          <w:szCs w:val="21"/>
          <w:lang w:val="zh-CN"/>
          <w14:textFill>
            <w14:solidFill>
              <w14:schemeClr w14:val="tx1"/>
            </w14:solidFill>
          </w14:textFill>
        </w:rPr>
        <w:t>供应商需对采购需求的所有条款进行整体响应，采购需求条款若有一条负偏离或不响应，</w:t>
      </w:r>
      <w:r>
        <w:rPr>
          <w:rFonts w:hint="eastAsia"/>
          <w:bCs/>
          <w:color w:val="000000" w:themeColor="text1"/>
          <w:sz w:val="21"/>
          <w:szCs w:val="21"/>
          <w14:textFill>
            <w14:solidFill>
              <w14:schemeClr w14:val="tx1"/>
            </w14:solidFill>
          </w14:textFill>
        </w:rPr>
        <w:t>不推荐为成交候选人</w:t>
      </w:r>
      <w:r>
        <w:rPr>
          <w:rFonts w:hint="eastAsia"/>
          <w:color w:val="000000" w:themeColor="text1"/>
          <w:sz w:val="21"/>
          <w:szCs w:val="21"/>
          <w:lang w:val="zh-CN"/>
          <w14:textFill>
            <w14:solidFill>
              <w14:schemeClr w14:val="tx1"/>
            </w14:solidFill>
          </w14:textFill>
        </w:rPr>
        <w:t>。</w:t>
      </w:r>
    </w:p>
    <w:p w14:paraId="2E3806DB">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4.若成交人自身原因无法完成本项目，则采购人有权利保留追究责任。</w:t>
      </w:r>
    </w:p>
    <w:p w14:paraId="365809E6">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5.成交人因自身原因被取消成交资格，采购人可重新启动采购或按竞价公告规定顺延推选符合要求的供应商作为成交人。</w:t>
      </w:r>
    </w:p>
    <w:p w14:paraId="4E50F7FF">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6.若本项目竞价采购失败，采购人将重新采购，届时采购人有权根据项目具体情况，决定重新采购项目的采购方式。</w:t>
      </w:r>
    </w:p>
    <w:p w14:paraId="32795BE0">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7.成交人若无正当理由恶意放弃成交资格，采购人有权将拒绝其参加本项目重新组织的竞价采购活动。</w:t>
      </w:r>
    </w:p>
    <w:p w14:paraId="6449C00A">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D9809F6">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9.参与竞价的</w:t>
      </w:r>
      <w:r>
        <w:rPr>
          <w:rFonts w:hint="eastAsia"/>
          <w:color w:val="000000" w:themeColor="text1"/>
          <w:sz w:val="21"/>
          <w:szCs w:val="21"/>
          <w:lang w:eastAsia="zh-TW"/>
          <w14:textFill>
            <w14:solidFill>
              <w14:schemeClr w14:val="tx1"/>
            </w14:solidFill>
          </w14:textFill>
        </w:rPr>
        <w:t>供应商向我司咨询的有关项目事项，一切以</w:t>
      </w:r>
      <w:r>
        <w:rPr>
          <w:rFonts w:hint="eastAsia"/>
          <w:color w:val="000000" w:themeColor="text1"/>
          <w:sz w:val="21"/>
          <w:szCs w:val="21"/>
          <w14:textFill>
            <w14:solidFill>
              <w14:schemeClr w14:val="tx1"/>
            </w14:solidFill>
          </w14:textFill>
        </w:rPr>
        <w:t>竞价文件</w:t>
      </w:r>
      <w:r>
        <w:rPr>
          <w:rFonts w:hint="eastAsia"/>
          <w:color w:val="000000" w:themeColor="text1"/>
          <w:sz w:val="21"/>
          <w:szCs w:val="21"/>
          <w:lang w:eastAsia="zh-TW"/>
          <w14:textFill>
            <w14:solidFill>
              <w14:schemeClr w14:val="tx1"/>
            </w14:solidFill>
          </w14:textFill>
        </w:rPr>
        <w:t>规定</w:t>
      </w:r>
      <w:r>
        <w:rPr>
          <w:rFonts w:hint="eastAsia"/>
          <w:color w:val="000000" w:themeColor="text1"/>
          <w:sz w:val="21"/>
          <w:szCs w:val="21"/>
          <w14:textFill>
            <w14:solidFill>
              <w14:schemeClr w14:val="tx1"/>
            </w14:solidFill>
          </w14:textFill>
        </w:rPr>
        <w:t>和竞价公告规定以及</w:t>
      </w:r>
      <w:r>
        <w:rPr>
          <w:rFonts w:hint="eastAsia"/>
          <w:color w:val="000000" w:themeColor="text1"/>
          <w:sz w:val="21"/>
          <w:szCs w:val="21"/>
          <w:lang w:eastAsia="zh-TW"/>
          <w14:textFill>
            <w14:solidFill>
              <w14:schemeClr w14:val="tx1"/>
            </w14:solidFill>
          </w14:textFill>
        </w:rPr>
        <w:t>本公司</w:t>
      </w:r>
      <w:r>
        <w:rPr>
          <w:rFonts w:hint="eastAsia"/>
          <w:color w:val="000000" w:themeColor="text1"/>
          <w:sz w:val="21"/>
          <w:szCs w:val="21"/>
          <w14:textFill>
            <w14:solidFill>
              <w14:schemeClr w14:val="tx1"/>
            </w14:solidFill>
          </w14:textFill>
        </w:rPr>
        <w:t>的</w:t>
      </w:r>
      <w:r>
        <w:rPr>
          <w:rFonts w:hint="eastAsia"/>
          <w:color w:val="000000" w:themeColor="text1"/>
          <w:sz w:val="21"/>
          <w:szCs w:val="21"/>
          <w:lang w:eastAsia="zh-TW"/>
          <w14:textFill>
            <w14:solidFill>
              <w14:schemeClr w14:val="tx1"/>
            </w14:solidFill>
          </w14:textFill>
        </w:rPr>
        <w:t>书面答复为准，其他一切形式均为个人意见，不代表本公司的意见</w:t>
      </w:r>
      <w:r>
        <w:rPr>
          <w:rFonts w:hint="eastAsia"/>
          <w:color w:val="000000" w:themeColor="text1"/>
          <w:sz w:val="21"/>
          <w:szCs w:val="21"/>
          <w14:textFill>
            <w14:solidFill>
              <w14:schemeClr w14:val="tx1"/>
            </w14:solidFill>
          </w14:textFill>
        </w:rPr>
        <w:t>；</w:t>
      </w:r>
    </w:p>
    <w:p w14:paraId="16F72848">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10.参与竞价的供应商应认真阅读</w:t>
      </w:r>
      <w:r>
        <w:rPr>
          <w:rFonts w:hint="eastAsia"/>
          <w:color w:val="000000" w:themeColor="text1"/>
          <w:sz w:val="21"/>
          <w:szCs w:val="21"/>
          <w:lang w:eastAsia="zh-TW"/>
          <w14:textFill>
            <w14:solidFill>
              <w14:schemeClr w14:val="tx1"/>
            </w14:solidFill>
          </w14:textFill>
        </w:rPr>
        <w:t>、并充分理解</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文件的全部内容（包括所有的补充、修改内容重要事项、格式、条款</w:t>
      </w:r>
      <w:r>
        <w:rPr>
          <w:rFonts w:hint="eastAsia"/>
          <w:color w:val="000000" w:themeColor="text1"/>
          <w:sz w:val="21"/>
          <w:szCs w:val="21"/>
          <w14:textFill>
            <w14:solidFill>
              <w14:schemeClr w14:val="tx1"/>
            </w14:solidFill>
          </w14:textFill>
        </w:rPr>
        <w:t>、服务要求</w:t>
      </w:r>
      <w:r>
        <w:rPr>
          <w:rFonts w:hint="eastAsia"/>
          <w:color w:val="000000" w:themeColor="text1"/>
          <w:sz w:val="21"/>
          <w:szCs w:val="21"/>
          <w:lang w:eastAsia="zh-TW"/>
          <w14:textFill>
            <w14:solidFill>
              <w14:schemeClr w14:val="tx1"/>
            </w14:solidFill>
          </w14:textFill>
        </w:rPr>
        <w:t>和技术规范、参数及要求等）。</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eastAsia="zh-TW"/>
          <w14:textFill>
            <w14:solidFill>
              <w14:schemeClr w14:val="tx1"/>
            </w14:solidFill>
          </w14:textFill>
        </w:rPr>
        <w:t>没有按照</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文件要求提交全部资料，或者</w:t>
      </w:r>
      <w:r>
        <w:rPr>
          <w:rFonts w:hint="eastAsia"/>
          <w:color w:val="000000" w:themeColor="text1"/>
          <w:sz w:val="21"/>
          <w:szCs w:val="21"/>
          <w14:textFill>
            <w14:solidFill>
              <w14:schemeClr w14:val="tx1"/>
            </w14:solidFill>
          </w14:textFill>
        </w:rPr>
        <w:t>参与竞价所上传的</w:t>
      </w:r>
      <w:r>
        <w:rPr>
          <w:rFonts w:hint="eastAsia"/>
          <w:color w:val="000000" w:themeColor="text1"/>
          <w:sz w:val="21"/>
          <w:szCs w:val="21"/>
          <w:lang w:eastAsia="zh-TW"/>
          <w14:textFill>
            <w14:solidFill>
              <w14:schemeClr w14:val="tx1"/>
            </w14:solidFill>
          </w14:textFill>
        </w:rPr>
        <w:t>文件没有对</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文件在各方面都作出实质性响应是</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eastAsia="zh-TW"/>
          <w14:textFill>
            <w14:solidFill>
              <w14:schemeClr w14:val="tx1"/>
            </w14:solidFill>
          </w14:textFill>
        </w:rPr>
        <w:t>的风险，有可能导致其</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被拒绝，</w:t>
      </w:r>
      <w:r>
        <w:rPr>
          <w:rFonts w:hint="eastAsia"/>
          <w:color w:val="000000" w:themeColor="text1"/>
          <w:sz w:val="21"/>
          <w:szCs w:val="21"/>
          <w14:textFill>
            <w14:solidFill>
              <w14:schemeClr w14:val="tx1"/>
            </w14:solidFill>
          </w14:textFill>
        </w:rPr>
        <w:t>或被认定为无效竞价。</w:t>
      </w:r>
    </w:p>
    <w:p w14:paraId="3B30F42F">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11.采购人有权拒绝接受任何不合格的货物或服务，由此产生的费用及相关后果均由成交人自行承担。</w:t>
      </w:r>
    </w:p>
    <w:p w14:paraId="6ED33352">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12.供应商认为竞价结果损害其权益的，应按照智采平台相关指引在规定的时间内向采购人或平台方提交书面质疑，不提交的视为无异议，逾期提交将不予受理。</w:t>
      </w:r>
    </w:p>
    <w:p w14:paraId="5530AFA3">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13.本竞价公告和竞价文件的解释权归</w:t>
      </w:r>
      <w:r>
        <w:rPr>
          <w:rFonts w:hint="eastAsia"/>
          <w:color w:val="000000" w:themeColor="text1"/>
          <w:sz w:val="21"/>
          <w:szCs w:val="21"/>
          <w:lang w:eastAsia="zh-TW"/>
          <w14:textFill>
            <w14:solidFill>
              <w14:schemeClr w14:val="tx1"/>
            </w14:solidFill>
          </w14:textFill>
        </w:rPr>
        <w:t>“</w:t>
      </w:r>
      <w:r>
        <w:rPr>
          <w:rFonts w:hint="eastAsia"/>
          <w:color w:val="000000" w:themeColor="text1"/>
          <w:sz w:val="21"/>
          <w:szCs w:val="21"/>
          <w14:textFill>
            <w14:solidFill>
              <w14:schemeClr w14:val="tx1"/>
            </w14:solidFill>
          </w14:textFill>
        </w:rPr>
        <w:t>广州市国科招标代理有限公司</w:t>
      </w:r>
      <w:r>
        <w:rPr>
          <w:rFonts w:hint="eastAsia"/>
          <w:color w:val="000000" w:themeColor="text1"/>
          <w:sz w:val="21"/>
          <w:szCs w:val="21"/>
          <w:lang w:eastAsia="zh-TW"/>
          <w14:textFill>
            <w14:solidFill>
              <w14:schemeClr w14:val="tx1"/>
            </w14:solidFill>
          </w14:textFill>
        </w:rPr>
        <w:t>”所有。</w:t>
      </w:r>
    </w:p>
    <w:p w14:paraId="5C4BE832">
      <w:pPr>
        <w:pStyle w:val="60"/>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(二)竞价文件的澄清或修改</w:t>
      </w:r>
    </w:p>
    <w:p w14:paraId="3902F234">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1.采购人可以对已发出的竞价文件进行必要的澄清或者修改。澄清或者修改的内容将在智采平台上发布澄清（更正/变更）公告。</w:t>
      </w:r>
    </w:p>
    <w:p w14:paraId="5B3CD42F">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2.无论澄清或者修改的内容是否影响竞价，平台将以邮箱形式通知所有的报名供应商；报名供应商应按要求履行相应的义务；如报名</w:t>
      </w:r>
      <w:r>
        <w:rPr>
          <w:rFonts w:hint="eastAsia"/>
          <w:color w:val="000000" w:themeColor="text1"/>
          <w:sz w:val="21"/>
          <w:szCs w:val="21"/>
          <w:lang w:eastAsia="zh-TW"/>
          <w14:textFill>
            <w14:solidFill>
              <w14:schemeClr w14:val="tx1"/>
            </w14:solidFill>
          </w14:textFill>
        </w:rPr>
        <w:t>截止时间</w:t>
      </w:r>
      <w:r>
        <w:rPr>
          <w:rFonts w:hint="eastAsia"/>
          <w:color w:val="000000" w:themeColor="text1"/>
          <w:sz w:val="21"/>
          <w:szCs w:val="21"/>
          <w14:textFill>
            <w14:solidFill>
              <w14:schemeClr w14:val="tx1"/>
            </w14:solidFill>
          </w14:textFill>
        </w:rPr>
        <w:t>少于一个工作日的，采购人应当相应顺延报名的截止时间。</w:t>
      </w:r>
    </w:p>
    <w:p w14:paraId="48673815">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3.采购人发出的澄清或修改（更正/变更）的内容为竞价文件的组成部分，并对供应商具有约束力。</w:t>
      </w:r>
    </w:p>
    <w:p w14:paraId="668F0027">
      <w:pPr>
        <w:pStyle w:val="60"/>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(三)如有要求缴纳投标保证金的项目有</w:t>
      </w:r>
      <w:r>
        <w:rPr>
          <w:rFonts w:hint="eastAsia"/>
          <w:b/>
          <w:color w:val="000000" w:themeColor="text1"/>
          <w:sz w:val="21"/>
          <w:szCs w:val="21"/>
          <w:lang w:eastAsia="zh-TW"/>
          <w14:textFill>
            <w14:solidFill>
              <w14:schemeClr w14:val="tx1"/>
            </w14:solidFill>
          </w14:textFill>
        </w:rPr>
        <w:t>下列任一情</w:t>
      </w:r>
      <w:r>
        <w:rPr>
          <w:rFonts w:hint="eastAsia"/>
          <w:b/>
          <w:color w:val="000000" w:themeColor="text1"/>
          <w:sz w:val="21"/>
          <w:szCs w:val="21"/>
          <w14:textFill>
            <w14:solidFill>
              <w14:schemeClr w14:val="tx1"/>
            </w14:solidFill>
          </w14:textFill>
        </w:rPr>
        <w:t>形</w:t>
      </w:r>
      <w:r>
        <w:rPr>
          <w:rFonts w:hint="eastAsia"/>
          <w:b/>
          <w:color w:val="000000" w:themeColor="text1"/>
          <w:sz w:val="21"/>
          <w:szCs w:val="21"/>
          <w:lang w:eastAsia="zh-TW"/>
          <w14:textFill>
            <w14:solidFill>
              <w14:schemeClr w14:val="tx1"/>
            </w14:solidFill>
          </w14:textFill>
        </w:rPr>
        <w:t>发生时</w:t>
      </w:r>
      <w:r>
        <w:rPr>
          <w:rFonts w:hint="eastAsia"/>
          <w:b/>
          <w:color w:val="000000" w:themeColor="text1"/>
          <w:sz w:val="21"/>
          <w:szCs w:val="21"/>
          <w14:textFill>
            <w14:solidFill>
              <w14:schemeClr w14:val="tx1"/>
            </w14:solidFill>
          </w14:textFill>
        </w:rPr>
        <w:t>，</w:t>
      </w:r>
      <w:r>
        <w:rPr>
          <w:rFonts w:hint="eastAsia"/>
          <w:b/>
          <w:color w:val="000000" w:themeColor="text1"/>
          <w:sz w:val="21"/>
          <w:szCs w:val="21"/>
          <w:lang w:eastAsia="zh-TW"/>
          <w14:textFill>
            <w14:solidFill>
              <w14:schemeClr w14:val="tx1"/>
            </w14:solidFill>
          </w14:textFill>
        </w:rPr>
        <w:t>投标保证金将不予退还</w:t>
      </w:r>
      <w:r>
        <w:rPr>
          <w:rFonts w:hint="eastAsia"/>
          <w:b/>
          <w:color w:val="000000" w:themeColor="text1"/>
          <w:sz w:val="21"/>
          <w:szCs w:val="21"/>
          <w14:textFill>
            <w14:solidFill>
              <w14:schemeClr w14:val="tx1"/>
            </w14:solidFill>
          </w14:textFill>
        </w:rPr>
        <w:t>：</w:t>
      </w:r>
    </w:p>
    <w:p w14:paraId="16F96AEA">
      <w:pPr>
        <w:pStyle w:val="60"/>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1.供应商</w:t>
      </w:r>
      <w:r>
        <w:rPr>
          <w:rFonts w:hint="eastAsia"/>
          <w:color w:val="000000" w:themeColor="text1"/>
          <w:sz w:val="21"/>
          <w:szCs w:val="21"/>
          <w:lang w:eastAsia="zh-TW"/>
          <w14:textFill>
            <w14:solidFill>
              <w14:schemeClr w14:val="tx1"/>
            </w14:solidFill>
          </w14:textFill>
        </w:rPr>
        <w:t>在</w:t>
      </w:r>
      <w:r>
        <w:rPr>
          <w:rFonts w:hint="eastAsia"/>
          <w:color w:val="000000" w:themeColor="text1"/>
          <w:sz w:val="21"/>
          <w:szCs w:val="21"/>
          <w14:textFill>
            <w14:solidFill>
              <w14:schemeClr w14:val="tx1"/>
            </w14:solidFill>
          </w14:textFill>
        </w:rPr>
        <w:t>项目相关公告以及竞价文件等相关</w:t>
      </w:r>
      <w:r>
        <w:rPr>
          <w:rFonts w:hint="eastAsia"/>
          <w:color w:val="000000" w:themeColor="text1"/>
          <w:sz w:val="21"/>
          <w:szCs w:val="21"/>
          <w:lang w:eastAsia="zh-TW"/>
          <w14:textFill>
            <w14:solidFill>
              <w14:schemeClr w14:val="tx1"/>
            </w14:solidFill>
          </w14:textFill>
        </w:rPr>
        <w:t>规定的</w:t>
      </w:r>
      <w:r>
        <w:rPr>
          <w:rFonts w:hint="eastAsia"/>
          <w:color w:val="000000" w:themeColor="text1"/>
          <w:sz w:val="21"/>
          <w:szCs w:val="21"/>
          <w14:textFill>
            <w14:solidFill>
              <w14:schemeClr w14:val="tx1"/>
            </w14:solidFill>
          </w14:textFill>
        </w:rPr>
        <w:t>报名报价</w:t>
      </w:r>
      <w:r>
        <w:rPr>
          <w:rFonts w:hint="eastAsia"/>
          <w:color w:val="000000" w:themeColor="text1"/>
          <w:sz w:val="21"/>
          <w:szCs w:val="21"/>
          <w:lang w:eastAsia="zh-TW"/>
          <w14:textFill>
            <w14:solidFill>
              <w14:schemeClr w14:val="tx1"/>
            </w14:solidFill>
          </w14:textFill>
        </w:rPr>
        <w:t>有效期内撤</w:t>
      </w:r>
      <w:r>
        <w:rPr>
          <w:rFonts w:hint="eastAsia"/>
          <w:color w:val="000000" w:themeColor="text1"/>
          <w:sz w:val="21"/>
          <w:szCs w:val="21"/>
          <w14:textFill>
            <w14:solidFill>
              <w14:schemeClr w14:val="tx1"/>
            </w14:solidFill>
          </w14:textFill>
        </w:rPr>
        <w:t>销</w:t>
      </w:r>
      <w:r>
        <w:rPr>
          <w:rFonts w:hint="eastAsia"/>
          <w:color w:val="000000" w:themeColor="text1"/>
          <w:sz w:val="21"/>
          <w:szCs w:val="21"/>
          <w:lang w:eastAsia="zh-TW"/>
          <w14:textFill>
            <w14:solidFill>
              <w14:schemeClr w14:val="tx1"/>
            </w14:solidFill>
          </w14:textFill>
        </w:rPr>
        <w:t>其</w:t>
      </w:r>
      <w:r>
        <w:rPr>
          <w:rFonts w:hint="eastAsia"/>
          <w:color w:val="000000" w:themeColor="text1"/>
          <w:sz w:val="21"/>
          <w:szCs w:val="21"/>
          <w14:textFill>
            <w14:solidFill>
              <w14:schemeClr w14:val="tx1"/>
            </w14:solidFill>
          </w14:textFill>
        </w:rPr>
        <w:t>报价的；</w:t>
      </w:r>
    </w:p>
    <w:p w14:paraId="4CA6C30D">
      <w:pPr>
        <w:pStyle w:val="60"/>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2.获取成交资格</w:t>
      </w:r>
      <w:r>
        <w:rPr>
          <w:rFonts w:hint="eastAsia"/>
          <w:color w:val="000000" w:themeColor="text1"/>
          <w:sz w:val="21"/>
          <w:szCs w:val="21"/>
          <w:lang w:eastAsia="zh-TW"/>
          <w14:textFill>
            <w14:solidFill>
              <w14:schemeClr w14:val="tx1"/>
            </w14:solidFill>
          </w14:textFill>
        </w:rPr>
        <w:t>后无正当理由放弃</w:t>
      </w:r>
      <w:r>
        <w:rPr>
          <w:rFonts w:hint="eastAsia"/>
          <w:color w:val="000000" w:themeColor="text1"/>
          <w:sz w:val="21"/>
          <w:szCs w:val="21"/>
          <w14:textFill>
            <w14:solidFill>
              <w14:schemeClr w14:val="tx1"/>
            </w14:solidFill>
          </w14:textFill>
        </w:rPr>
        <w:t>成交资格</w:t>
      </w:r>
      <w:r>
        <w:rPr>
          <w:rFonts w:hint="eastAsia"/>
          <w:color w:val="000000" w:themeColor="text1"/>
          <w:sz w:val="21"/>
          <w:szCs w:val="21"/>
          <w:lang w:eastAsia="zh-TW"/>
          <w14:textFill>
            <w14:solidFill>
              <w14:schemeClr w14:val="tx1"/>
            </w14:solidFill>
          </w14:textFill>
        </w:rPr>
        <w:t>或</w:t>
      </w:r>
      <w:r>
        <w:rPr>
          <w:rFonts w:hint="eastAsia"/>
          <w:color w:val="000000" w:themeColor="text1"/>
          <w:sz w:val="21"/>
          <w:szCs w:val="21"/>
          <w14:textFill>
            <w14:solidFill>
              <w14:schemeClr w14:val="tx1"/>
            </w14:solidFill>
          </w14:textFill>
        </w:rPr>
        <w:t>成交人拒绝与采购人</w:t>
      </w:r>
      <w:r>
        <w:rPr>
          <w:rFonts w:hint="eastAsia"/>
          <w:color w:val="000000" w:themeColor="text1"/>
          <w:sz w:val="21"/>
          <w:szCs w:val="21"/>
          <w:lang w:eastAsia="zh-TW"/>
          <w14:textFill>
            <w14:solidFill>
              <w14:schemeClr w14:val="tx1"/>
            </w14:solidFill>
          </w14:textFill>
        </w:rPr>
        <w:t>签订合同</w:t>
      </w:r>
      <w:r>
        <w:rPr>
          <w:rFonts w:hint="eastAsia"/>
          <w:color w:val="000000" w:themeColor="text1"/>
          <w:sz w:val="21"/>
          <w:szCs w:val="21"/>
          <w14:textFill>
            <w14:solidFill>
              <w14:schemeClr w14:val="tx1"/>
            </w14:solidFill>
          </w14:textFill>
        </w:rPr>
        <w:t>的；</w:t>
      </w:r>
    </w:p>
    <w:p w14:paraId="3FEC38AD">
      <w:pPr>
        <w:pStyle w:val="60"/>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eastAsia="zh-TW"/>
          <w14:textFill>
            <w14:solidFill>
              <w14:schemeClr w14:val="tx1"/>
            </w14:solidFill>
          </w14:textFill>
        </w:rPr>
        <w:t>3.</w:t>
      </w:r>
      <w:r>
        <w:rPr>
          <w:rFonts w:hint="eastAsia"/>
          <w:color w:val="000000" w:themeColor="text1"/>
          <w:sz w:val="21"/>
          <w:szCs w:val="21"/>
          <w14:textFill>
            <w14:solidFill>
              <w14:schemeClr w14:val="tx1"/>
            </w14:solidFill>
          </w14:textFill>
        </w:rPr>
        <w:t>其他因成交人的原因被认定取消成交资格的。</w:t>
      </w:r>
    </w:p>
    <w:p w14:paraId="13E9CA43">
      <w:pPr>
        <w:pStyle w:val="60"/>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(四)报名要求（参与竞价的供应商报名时需要提供以下盖章资料，并对上传的报名文件资料承担责任）</w:t>
      </w:r>
    </w:p>
    <w:p w14:paraId="53CA5A77">
      <w:pPr>
        <w:pStyle w:val="60"/>
        <w:wordWrap w:val="0"/>
        <w:spacing w:before="0" w:beforeAutospacing="0" w:after="0" w:afterAutospacing="0" w:line="360" w:lineRule="auto"/>
        <w:ind w:firstLine="420" w:firstLineChars="200"/>
        <w:jc w:val="both"/>
        <w:rPr>
          <w:sz w:val="21"/>
          <w:szCs w:val="21"/>
        </w:rPr>
      </w:pPr>
      <w:r>
        <w:rPr>
          <w:rFonts w:hint="eastAsia"/>
          <w:sz w:val="21"/>
          <w:szCs w:val="21"/>
        </w:rPr>
        <w:t>1.</w:t>
      </w:r>
      <w:r>
        <w:rPr>
          <w:rFonts w:hint="eastAsia"/>
          <w:kern w:val="28"/>
          <w:sz w:val="21"/>
          <w:szCs w:val="21"/>
        </w:rPr>
        <w:t>具有独立承担民事责任能力的在中华人民共和国境内注册的法人或其他组织或自然人，报名时提交有效的营业执照（或事业法人登记证或身份证等相关证明）副本复印件。</w:t>
      </w:r>
      <w:r>
        <w:rPr>
          <w:rFonts w:hint="eastAsia"/>
          <w:sz w:val="21"/>
          <w:szCs w:val="21"/>
        </w:rPr>
        <w:t>分支机构响应的，须提供总公司和分公司营业执照副本复印件，总公司出具给分支机构的授权书。</w:t>
      </w:r>
    </w:p>
    <w:p w14:paraId="2560A220">
      <w:pPr>
        <w:wordWrap w:val="0"/>
        <w:spacing w:line="360" w:lineRule="auto"/>
        <w:ind w:firstLine="420" w:firstLineChars="200"/>
        <w:rPr>
          <w:rFonts w:ascii="宋体" w:hAnsi="宋体" w:cs="宋体"/>
          <w:szCs w:val="21"/>
        </w:rPr>
      </w:pPr>
      <w:r>
        <w:rPr>
          <w:rFonts w:hint="eastAsia" w:ascii="宋体" w:hAnsi="宋体" w:cs="宋体"/>
          <w:szCs w:val="21"/>
        </w:rPr>
        <w:t>2.供应商资格声明函（详细见竞价文件格式）；</w:t>
      </w:r>
    </w:p>
    <w:p w14:paraId="34753CB4">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3.法定代表人或企业负责人资格证明书及其身份证（正反面）（详细见竞价文件格式）；</w:t>
      </w:r>
    </w:p>
    <w:p w14:paraId="312C156E">
      <w:pPr>
        <w:autoSpaceDE w:val="0"/>
        <w:autoSpaceDN w:val="0"/>
        <w:adjustRightInd w:val="0"/>
        <w:spacing w:line="360" w:lineRule="auto"/>
        <w:ind w:firstLine="420" w:firstLineChars="200"/>
        <w:outlineLvl w:val="2"/>
        <w:rPr>
          <w:szCs w:val="21"/>
        </w:rPr>
      </w:pPr>
      <w:r>
        <w:rPr>
          <w:rFonts w:hint="eastAsia"/>
          <w:szCs w:val="21"/>
        </w:rPr>
        <w:t>4.财务状况报告，依法缴纳税收和社会保障资金的相关材料；</w:t>
      </w:r>
    </w:p>
    <w:p w14:paraId="688ABCF2">
      <w:pPr>
        <w:autoSpaceDE w:val="0"/>
        <w:autoSpaceDN w:val="0"/>
        <w:adjustRightInd w:val="0"/>
        <w:spacing w:line="360" w:lineRule="auto"/>
        <w:ind w:firstLine="420" w:firstLineChars="200"/>
        <w:outlineLvl w:val="2"/>
        <w:rPr>
          <w:szCs w:val="21"/>
        </w:rPr>
      </w:pPr>
      <w:r>
        <w:rPr>
          <w:rFonts w:hint="eastAsia"/>
          <w:szCs w:val="21"/>
        </w:rPr>
        <w:t>5.具备履行合同所必需的设备和专业技术能力的证明材料；</w:t>
      </w:r>
    </w:p>
    <w:p w14:paraId="37ECA0F1">
      <w:pPr>
        <w:autoSpaceDE w:val="0"/>
        <w:autoSpaceDN w:val="0"/>
        <w:adjustRightInd w:val="0"/>
        <w:spacing w:line="360" w:lineRule="auto"/>
        <w:ind w:firstLine="420" w:firstLineChars="200"/>
        <w:outlineLvl w:val="2"/>
        <w:rPr>
          <w:szCs w:val="21"/>
        </w:rPr>
      </w:pPr>
      <w:r>
        <w:rPr>
          <w:rFonts w:hint="eastAsia"/>
          <w:szCs w:val="21"/>
        </w:rPr>
        <w:t>6.参加政府采购活动前3年内在经营活动中没有重大违法记录的书面声明（承诺函）；</w:t>
      </w:r>
    </w:p>
    <w:p w14:paraId="1BB32274">
      <w:pPr>
        <w:autoSpaceDE w:val="0"/>
        <w:autoSpaceDN w:val="0"/>
        <w:adjustRightInd w:val="0"/>
        <w:spacing w:line="360" w:lineRule="auto"/>
        <w:ind w:firstLine="420" w:firstLineChars="200"/>
        <w:rPr>
          <w:rFonts w:ascii="宋体" w:hAnsi="宋体" w:cs="宋体"/>
          <w:szCs w:val="21"/>
        </w:rPr>
      </w:pPr>
      <w:r>
        <w:rPr>
          <w:rFonts w:hint="eastAsia"/>
          <w:szCs w:val="21"/>
        </w:rPr>
        <w:t>7.具备法律、行政法规规定的其他条件的证明材料（承诺函）；</w:t>
      </w:r>
    </w:p>
    <w:p w14:paraId="04F2F934">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8.如非法定代表人或企业负责人参加，则须同时提交法定代表人或企业负责人的授权委托书及其被授权人身份证（正反面）（详细见竞价文件格式）；</w:t>
      </w:r>
    </w:p>
    <w:p w14:paraId="22492234">
      <w:pPr>
        <w:pStyle w:val="60"/>
        <w:wordWrap w:val="0"/>
        <w:spacing w:before="0" w:beforeAutospacing="0" w:after="0" w:afterAutospacing="0" w:line="360" w:lineRule="auto"/>
        <w:ind w:firstLine="420" w:firstLineChars="200"/>
        <w:jc w:val="both"/>
        <w:rPr>
          <w:sz w:val="21"/>
          <w:szCs w:val="21"/>
        </w:rPr>
      </w:pPr>
      <w:r>
        <w:rPr>
          <w:rFonts w:hint="eastAsia"/>
          <w:sz w:val="21"/>
          <w:szCs w:val="21"/>
        </w:rPr>
        <w:t>9.采购需求响应声明函（详细见竞价文件格式）。</w:t>
      </w:r>
    </w:p>
    <w:p w14:paraId="6DC8D4DB">
      <w:pPr>
        <w:pStyle w:val="60"/>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(五)报价要求（报价时需要提供以下盖章资料，并对上传的竞价文件资料承担责任）</w:t>
      </w:r>
    </w:p>
    <w:p w14:paraId="29F4692C">
      <w:pPr>
        <w:wordWrap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b/>
          <w:bCs/>
          <w:szCs w:val="21"/>
        </w:rPr>
        <w:t>报价表</w:t>
      </w:r>
      <w:r>
        <w:rPr>
          <w:rFonts w:hint="eastAsia" w:ascii="宋体" w:hAnsi="宋体" w:cs="宋体"/>
          <w:szCs w:val="21"/>
        </w:rPr>
        <w:t>。</w:t>
      </w:r>
    </w:p>
    <w:p w14:paraId="25F1E05A">
      <w:pPr>
        <w:wordWrap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bCs/>
          <w:szCs w:val="21"/>
        </w:rPr>
        <w:t>响应文件</w:t>
      </w:r>
      <w:r>
        <w:rPr>
          <w:rFonts w:hint="eastAsia" w:ascii="宋体" w:hAnsi="宋体" w:cs="宋体"/>
          <w:szCs w:val="21"/>
        </w:rPr>
        <w:t>。</w:t>
      </w:r>
    </w:p>
    <w:p w14:paraId="184DA33D">
      <w:pPr>
        <w:pStyle w:val="60"/>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(六)确定成交候选人</w:t>
      </w:r>
    </w:p>
    <w:p w14:paraId="076B1083">
      <w:pPr>
        <w:wordWrap w:val="0"/>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本项目以最低价成交的方式确定成交人。报价时间截止后，系统按报价（经价格核准后的价格）由低到高顺序排列，报价最低的为第一成交候选人，报价相同的，按报价时间在前的为第一成交候选人；报价次低的为第二成交候选人，以此类推。</w:t>
      </w:r>
    </w:p>
    <w:p w14:paraId="3F84A60B">
      <w:pPr>
        <w:pStyle w:val="60"/>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(七)无效报价</w:t>
      </w:r>
    </w:p>
    <w:p w14:paraId="1DB28FF6">
      <w:pPr>
        <w:pStyle w:val="60"/>
        <w:wordWrap w:val="0"/>
        <w:spacing w:before="0" w:beforeAutospacing="0" w:after="0" w:afterAutospacing="0" w:line="360" w:lineRule="auto"/>
        <w:ind w:firstLine="420" w:firstLineChars="200"/>
        <w:jc w:val="both"/>
        <w:rPr>
          <w:sz w:val="21"/>
          <w:szCs w:val="21"/>
        </w:rPr>
      </w:pPr>
      <w:r>
        <w:rPr>
          <w:rFonts w:hint="eastAsia"/>
          <w:sz w:val="21"/>
          <w:szCs w:val="21"/>
        </w:rPr>
        <w:t>1.</w:t>
      </w:r>
      <w:r>
        <w:rPr>
          <w:rFonts w:hint="eastAsia"/>
          <w:color w:val="000000" w:themeColor="text1"/>
          <w:sz w:val="21"/>
          <w:szCs w:val="21"/>
          <w14:textFill>
            <w14:solidFill>
              <w14:schemeClr w14:val="tx1"/>
            </w14:solidFill>
          </w14:textFill>
        </w:rPr>
        <w:t>参与竞价的供应商报价超过最高限价或低于最低限价或超过项目对应产品单项最高限价的视为无效报价。</w:t>
      </w:r>
    </w:p>
    <w:p w14:paraId="32D75763">
      <w:pPr>
        <w:pStyle w:val="60"/>
        <w:wordWrap w:val="0"/>
        <w:spacing w:before="0" w:beforeAutospacing="0" w:after="0" w:afterAutospacing="0" w:line="360" w:lineRule="auto"/>
        <w:ind w:firstLine="420" w:firstLineChars="200"/>
        <w:jc w:val="both"/>
        <w:rPr>
          <w:sz w:val="21"/>
          <w:szCs w:val="21"/>
        </w:rPr>
      </w:pPr>
      <w:r>
        <w:rPr>
          <w:rFonts w:hint="eastAsia"/>
          <w:sz w:val="21"/>
          <w:szCs w:val="21"/>
        </w:rPr>
        <w:t>2.</w:t>
      </w:r>
      <w:r>
        <w:rPr>
          <w:rFonts w:hint="eastAsia"/>
          <w:color w:val="000000" w:themeColor="text1"/>
          <w:sz w:val="21"/>
          <w:szCs w:val="21"/>
          <w14:textFill>
            <w14:solidFill>
              <w14:schemeClr w14:val="tx1"/>
            </w14:solidFill>
          </w14:textFill>
        </w:rPr>
        <w:t>参与竞价的</w:t>
      </w:r>
      <w:r>
        <w:rPr>
          <w:rFonts w:hint="eastAsia"/>
          <w:bCs/>
          <w:color w:val="000000" w:themeColor="text1"/>
          <w:sz w:val="2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294D2A61">
      <w:pPr>
        <w:pStyle w:val="60"/>
        <w:wordWrap w:val="0"/>
        <w:spacing w:before="0" w:beforeAutospacing="0" w:after="0" w:afterAutospacing="0" w:line="360" w:lineRule="auto"/>
        <w:ind w:firstLine="420" w:firstLineChars="200"/>
        <w:jc w:val="both"/>
        <w:rPr>
          <w:sz w:val="21"/>
          <w:szCs w:val="21"/>
        </w:rPr>
      </w:pPr>
      <w:r>
        <w:rPr>
          <w:rFonts w:hint="eastAsia"/>
          <w:sz w:val="21"/>
          <w:szCs w:val="21"/>
        </w:rPr>
        <w:t>3.</w:t>
      </w:r>
      <w:r>
        <w:rPr>
          <w:rFonts w:hint="eastAsia"/>
          <w:color w:val="000000" w:themeColor="text1"/>
          <w:sz w:val="21"/>
          <w:szCs w:val="21"/>
          <w14:textFill>
            <w14:solidFill>
              <w14:schemeClr w14:val="tx1"/>
            </w14:solidFill>
          </w14:textFill>
        </w:rPr>
        <w:t>参与竞价的</w:t>
      </w:r>
      <w:r>
        <w:rPr>
          <w:rFonts w:hint="eastAsia"/>
          <w:bCs/>
          <w:color w:val="000000" w:themeColor="text1"/>
          <w:sz w:val="21"/>
          <w:szCs w:val="21"/>
          <w14:textFill>
            <w14:solidFill>
              <w14:schemeClr w14:val="tx1"/>
            </w14:solidFill>
          </w14:textFill>
        </w:rPr>
        <w:t>供应商须对本项目采购内容进行整体报价，任何只对其中一部分内容进行的报价都被视为无效报价。</w:t>
      </w:r>
    </w:p>
    <w:p w14:paraId="320750ED">
      <w:pPr>
        <w:pStyle w:val="60"/>
        <w:wordWrap w:val="0"/>
        <w:spacing w:before="0" w:beforeAutospacing="0" w:after="0" w:afterAutospacing="0" w:line="360" w:lineRule="auto"/>
        <w:ind w:firstLine="420" w:firstLineChars="200"/>
        <w:jc w:val="both"/>
        <w:rPr>
          <w:sz w:val="21"/>
          <w:szCs w:val="21"/>
        </w:rPr>
      </w:pPr>
      <w:r>
        <w:rPr>
          <w:rFonts w:hint="eastAsia"/>
          <w:sz w:val="21"/>
          <w:szCs w:val="21"/>
        </w:rPr>
        <w:t>4.</w:t>
      </w:r>
      <w:r>
        <w:rPr>
          <w:rFonts w:hint="eastAsia"/>
          <w:color w:val="000000" w:themeColor="text1"/>
          <w:sz w:val="21"/>
          <w:szCs w:val="21"/>
          <w14:textFill>
            <w14:solidFill>
              <w14:schemeClr w14:val="tx1"/>
            </w14:solidFill>
          </w14:textFill>
        </w:rPr>
        <w:t>报价表以及有报价供应商落款的报价文件必须加盖报价供应商公章，否则视为无效报价。</w:t>
      </w:r>
    </w:p>
    <w:p w14:paraId="5A7DCD5F">
      <w:pPr>
        <w:pStyle w:val="18"/>
        <w:shd w:val="clear" w:color="auto" w:fill="FFFFFF"/>
        <w:wordWrap w:val="0"/>
        <w:spacing w:before="0" w:beforeAutospacing="0" w:after="0" w:afterAutospacing="0" w:line="360" w:lineRule="auto"/>
        <w:ind w:firstLine="422" w:firstLineChars="200"/>
        <w:jc w:val="both"/>
        <w:rPr>
          <w:sz w:val="21"/>
          <w:szCs w:val="21"/>
        </w:rPr>
      </w:pPr>
      <w:r>
        <w:rPr>
          <w:rFonts w:hint="eastAsia"/>
          <w:b/>
          <w:bCs/>
          <w:sz w:val="21"/>
          <w:szCs w:val="21"/>
        </w:rPr>
        <w:t>5.</w:t>
      </w:r>
      <w:r>
        <w:rPr>
          <w:rFonts w:hint="eastAsia"/>
          <w:b/>
          <w:bCs/>
          <w:color w:val="000000" w:themeColor="text1"/>
          <w:sz w:val="21"/>
          <w:szCs w:val="21"/>
          <w14:textFill>
            <w14:solidFill>
              <w14:schemeClr w14:val="tx1"/>
            </w14:solidFill>
          </w14:textFill>
        </w:rPr>
        <w:t>按有关法律、法规、规章属于报价无效的。</w:t>
      </w:r>
    </w:p>
    <w:p w14:paraId="553FACDC">
      <w:pPr>
        <w:pStyle w:val="18"/>
        <w:shd w:val="clear" w:color="auto" w:fill="FFFFFF"/>
        <w:wordWrap w:val="0"/>
        <w:spacing w:before="0" w:beforeAutospacing="0" w:after="0" w:afterAutospacing="0" w:line="360" w:lineRule="auto"/>
        <w:ind w:firstLine="420" w:firstLineChars="200"/>
        <w:jc w:val="both"/>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A1AC555">
      <w:pPr>
        <w:pStyle w:val="18"/>
        <w:shd w:val="clear" w:color="auto" w:fill="FFFFFF"/>
        <w:wordWrap w:val="0"/>
        <w:spacing w:before="0" w:beforeAutospacing="0" w:after="0" w:afterAutospacing="0" w:line="360" w:lineRule="auto"/>
        <w:ind w:firstLine="420" w:firstLineChars="200"/>
        <w:jc w:val="both"/>
        <w:rPr>
          <w:sz w:val="21"/>
          <w:szCs w:val="21"/>
        </w:rPr>
      </w:pPr>
      <w:r>
        <w:rPr>
          <w:rFonts w:hint="eastAsia"/>
          <w:sz w:val="21"/>
          <w:szCs w:val="21"/>
        </w:rPr>
        <w:t>7.</w:t>
      </w:r>
      <w:r>
        <w:rPr>
          <w:rFonts w:hint="eastAsia"/>
          <w:b/>
          <w:color w:val="000000" w:themeColor="text1"/>
          <w:sz w:val="21"/>
          <w:szCs w:val="21"/>
          <w14:textFill>
            <w14:solidFill>
              <w14:schemeClr w14:val="tx1"/>
            </w14:solidFill>
          </w14:textFill>
        </w:rPr>
        <w:t>有下列情形之一的，视为串通竞价，其报价无效：</w:t>
      </w:r>
    </w:p>
    <w:p w14:paraId="7ABF4299">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(1)存在单位负责人为同一人或存在控股、管理关系的不同单位参与同一竞价项目；</w:t>
      </w:r>
    </w:p>
    <w:p w14:paraId="0BB24C96">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(2)不同供应商的报价文件由同一单位或者个人编制；</w:t>
      </w:r>
    </w:p>
    <w:p w14:paraId="1A467B04">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(3)不同供应商委托同一单位或者个人办理竞价事宜；</w:t>
      </w:r>
    </w:p>
    <w:p w14:paraId="5104DA2F">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(4)不同供应商使用同一IP地址参与竞价；</w:t>
      </w:r>
    </w:p>
    <w:p w14:paraId="0A732BB0">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(5)不同供应商的报价文件载明的项目管理成员或者联系人员为同一人；</w:t>
      </w:r>
    </w:p>
    <w:p w14:paraId="1FD7EDB8">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(6)不同供应商的报价文件异常一致或者报价呈规律性差异；</w:t>
      </w:r>
    </w:p>
    <w:p w14:paraId="42222DC0">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(7)不同供应商的报价文件相互混淆；</w:t>
      </w:r>
    </w:p>
    <w:p w14:paraId="2CEC0EF4">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(8)不同供应商的平台使用费从同一单位或者个人的账户转出；</w:t>
      </w:r>
    </w:p>
    <w:p w14:paraId="37AEE2D2">
      <w:pPr>
        <w:pStyle w:val="60"/>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(八)竞价活动失败</w:t>
      </w:r>
    </w:p>
    <w:p w14:paraId="18B75644">
      <w:pPr>
        <w:pStyle w:val="60"/>
        <w:wordWrap w:val="0"/>
        <w:spacing w:before="0" w:beforeAutospacing="0" w:after="0" w:afterAutospacing="0" w:line="360" w:lineRule="auto"/>
        <w:ind w:firstLine="420" w:firstLineChars="200"/>
        <w:jc w:val="both"/>
        <w:rPr>
          <w:sz w:val="21"/>
          <w:szCs w:val="21"/>
        </w:rPr>
      </w:pPr>
      <w:r>
        <w:rPr>
          <w:rFonts w:hint="eastAsia"/>
          <w:color w:val="000000" w:themeColor="text1"/>
          <w:sz w:val="21"/>
          <w:szCs w:val="21"/>
          <w14:textFill>
            <w14:solidFill>
              <w14:schemeClr w14:val="tx1"/>
            </w14:solidFill>
          </w14:textFill>
        </w:rPr>
        <w:t>1.出现下列情况的，本次竞价活动失败：</w:t>
      </w:r>
    </w:p>
    <w:p w14:paraId="407712F0">
      <w:pPr>
        <w:pStyle w:val="60"/>
        <w:wordWrap w:val="0"/>
        <w:spacing w:before="0" w:beforeAutospacing="0" w:after="0" w:afterAutospacing="0" w:line="360" w:lineRule="auto"/>
        <w:ind w:firstLine="420" w:firstLineChars="200"/>
        <w:jc w:val="both"/>
        <w:rPr>
          <w:sz w:val="21"/>
          <w:szCs w:val="21"/>
        </w:rPr>
      </w:pPr>
      <w:r>
        <w:rPr>
          <w:rFonts w:hint="eastAsia"/>
          <w:sz w:val="21"/>
          <w:szCs w:val="21"/>
        </w:rPr>
        <w:t>(1)报名供应商不足3家；</w:t>
      </w:r>
    </w:p>
    <w:p w14:paraId="4B949612">
      <w:pPr>
        <w:pStyle w:val="60"/>
        <w:wordWrap w:val="0"/>
        <w:spacing w:before="0" w:beforeAutospacing="0" w:after="0" w:afterAutospacing="0" w:line="360" w:lineRule="auto"/>
        <w:ind w:firstLine="420" w:firstLineChars="200"/>
        <w:jc w:val="both"/>
        <w:rPr>
          <w:sz w:val="21"/>
          <w:szCs w:val="21"/>
        </w:rPr>
      </w:pPr>
      <w:r>
        <w:rPr>
          <w:rFonts w:hint="eastAsia"/>
          <w:sz w:val="21"/>
          <w:szCs w:val="21"/>
        </w:rPr>
        <w:t>(2)报价供应商不足3家；</w:t>
      </w:r>
    </w:p>
    <w:p w14:paraId="707C1BDD">
      <w:pPr>
        <w:wordWrap w:val="0"/>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2.出现影响采购公正的违法、违规行为的；</w:t>
      </w:r>
    </w:p>
    <w:p w14:paraId="2E8DB937">
      <w:pPr>
        <w:wordWrap w:val="0"/>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3.因重大变故，采购任务取消的；</w:t>
      </w:r>
    </w:p>
    <w:p w14:paraId="22B52B19">
      <w:pPr>
        <w:pStyle w:val="60"/>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(九)服务费</w:t>
      </w:r>
    </w:p>
    <w:p w14:paraId="21DB7F2A">
      <w:pPr>
        <w:widowControl/>
        <w:tabs>
          <w:tab w:val="left" w:pos="1200"/>
        </w:tabs>
        <w:spacing w:line="360" w:lineRule="auto"/>
        <w:ind w:firstLine="420" w:firstLineChars="200"/>
        <w:jc w:val="left"/>
        <w:rPr>
          <w:rFonts w:ascii="宋体" w:hAnsi="宋体" w:cs="宋体"/>
          <w:kern w:val="0"/>
          <w:szCs w:val="21"/>
        </w:rPr>
      </w:pPr>
      <w:bookmarkStart w:id="10" w:name="_Hlk103260340"/>
      <w:r>
        <w:rPr>
          <w:rFonts w:hint="eastAsia" w:ascii="宋体" w:hAnsi="宋体" w:cs="宋体"/>
          <w:kern w:val="0"/>
          <w:szCs w:val="21"/>
        </w:rPr>
        <w:t xml:space="preserve">1.广州市国科招标代理有限公司向成交人一次性收取招标代理服务费，收费标准为：成交金额的1.8%（不足1300元的，按照1300元收取）。 </w:t>
      </w:r>
    </w:p>
    <w:p w14:paraId="122B2747">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2.成交人无正当理由放弃成交资格的必须按竞价公告等相关规定缴纳相应的招标代理服务费。</w:t>
      </w:r>
    </w:p>
    <w:p w14:paraId="39C5DE1F">
      <w:pPr>
        <w:widowControl/>
        <w:tabs>
          <w:tab w:val="left" w:pos="1200"/>
        </w:tabs>
        <w:spacing w:line="360" w:lineRule="auto"/>
        <w:ind w:firstLine="420" w:firstLineChars="200"/>
        <w:jc w:val="left"/>
        <w:rPr>
          <w:rFonts w:ascii="宋体" w:hAnsi="宋体" w:cs="宋体"/>
          <w:color w:val="000000"/>
          <w:kern w:val="0"/>
          <w:szCs w:val="21"/>
        </w:rPr>
      </w:pPr>
      <w:r>
        <w:rPr>
          <w:rFonts w:hint="eastAsia" w:ascii="宋体" w:hAnsi="宋体" w:cs="宋体"/>
          <w:kern w:val="0"/>
          <w:szCs w:val="21"/>
        </w:rPr>
        <w:t>3.如确实因不可抗力放弃成交资格的，应在不可抗力发生后三个工作日内予以通知采购人及广州市国科招标代理有限公司并提供相关的证明</w:t>
      </w:r>
      <w:r>
        <w:rPr>
          <w:rFonts w:hint="eastAsia" w:ascii="宋体" w:hAnsi="宋体" w:cs="宋体"/>
          <w:color w:val="000000"/>
          <w:kern w:val="0"/>
          <w:szCs w:val="21"/>
        </w:rPr>
        <w:t>；如逾期，广州市国科招标代理有限公司将不予退还平台使用费。</w:t>
      </w:r>
    </w:p>
    <w:p w14:paraId="56481437">
      <w:pPr>
        <w:widowControl/>
        <w:tabs>
          <w:tab w:val="left" w:pos="1200"/>
        </w:tab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4. 缴纳代理服务费专用账号：</w:t>
      </w:r>
    </w:p>
    <w:p w14:paraId="6653178D">
      <w:pPr>
        <w:widowControl/>
        <w:tabs>
          <w:tab w:val="left" w:pos="1200"/>
        </w:tab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账户：广州市国科招标代理有限公司</w:t>
      </w:r>
    </w:p>
    <w:p w14:paraId="0018DEA6">
      <w:pPr>
        <w:widowControl/>
        <w:tabs>
          <w:tab w:val="left" w:pos="1200"/>
        </w:tab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账号：7120 5774 1941</w:t>
      </w:r>
    </w:p>
    <w:p w14:paraId="1FCA83F7">
      <w:pPr>
        <w:widowControl/>
        <w:tabs>
          <w:tab w:val="left" w:pos="1200"/>
        </w:tab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开户银行：中国银行广州先烈中路支行</w:t>
      </w:r>
    </w:p>
    <w:bookmarkEnd w:id="10"/>
    <w:p w14:paraId="3C5BB310">
      <w:pPr>
        <w:keepNext/>
        <w:keepLines/>
        <w:spacing w:line="360" w:lineRule="auto"/>
        <w:jc w:val="center"/>
        <w:rPr>
          <w:szCs w:val="21"/>
        </w:rPr>
      </w:pPr>
      <w:r>
        <w:rPr>
          <w:rFonts w:hint="eastAsia"/>
          <w:szCs w:val="21"/>
        </w:rPr>
        <w:t xml:space="preserve">    </w:t>
      </w:r>
    </w:p>
    <w:p w14:paraId="343F67A5">
      <w:pPr>
        <w:keepNext/>
        <w:keepLines/>
        <w:spacing w:line="360" w:lineRule="auto"/>
        <w:jc w:val="center"/>
        <w:rPr>
          <w:szCs w:val="21"/>
        </w:rPr>
      </w:pPr>
    </w:p>
    <w:p w14:paraId="3DD6287F">
      <w:pPr>
        <w:keepNext/>
        <w:keepLines/>
        <w:spacing w:line="360" w:lineRule="auto"/>
        <w:jc w:val="center"/>
        <w:rPr>
          <w:szCs w:val="21"/>
        </w:rPr>
      </w:pPr>
    </w:p>
    <w:p w14:paraId="17C31A0D">
      <w:pPr>
        <w:keepNext/>
        <w:keepLines/>
        <w:spacing w:line="360" w:lineRule="auto"/>
        <w:jc w:val="center"/>
        <w:rPr>
          <w:rFonts w:hint="eastAsia"/>
          <w:szCs w:val="21"/>
        </w:rPr>
      </w:pPr>
    </w:p>
    <w:p w14:paraId="41A13332">
      <w:pPr>
        <w:keepNext/>
        <w:keepLines/>
        <w:spacing w:line="360" w:lineRule="auto"/>
        <w:jc w:val="center"/>
        <w:rPr>
          <w:rFonts w:hint="eastAsia"/>
          <w:szCs w:val="21"/>
        </w:rPr>
      </w:pPr>
    </w:p>
    <w:p w14:paraId="21BE5FE3">
      <w:pPr>
        <w:keepNext/>
        <w:keepLines/>
        <w:spacing w:line="360" w:lineRule="auto"/>
        <w:jc w:val="center"/>
        <w:rPr>
          <w:rFonts w:hint="eastAsia"/>
          <w:szCs w:val="21"/>
        </w:rPr>
      </w:pPr>
    </w:p>
    <w:p w14:paraId="16DB1858">
      <w:pPr>
        <w:keepNext/>
        <w:keepLines/>
        <w:spacing w:line="360" w:lineRule="auto"/>
        <w:jc w:val="center"/>
        <w:rPr>
          <w:rFonts w:hint="eastAsia"/>
          <w:szCs w:val="21"/>
        </w:rPr>
      </w:pPr>
    </w:p>
    <w:p w14:paraId="0F37D003">
      <w:pPr>
        <w:keepNext/>
        <w:keepLines/>
        <w:spacing w:line="360" w:lineRule="auto"/>
        <w:jc w:val="center"/>
        <w:rPr>
          <w:szCs w:val="21"/>
        </w:rPr>
      </w:pPr>
    </w:p>
    <w:p w14:paraId="49748472">
      <w:pPr>
        <w:keepNext/>
        <w:keepLines/>
        <w:spacing w:line="360" w:lineRule="auto"/>
        <w:jc w:val="center"/>
        <w:rPr>
          <w:szCs w:val="21"/>
        </w:rPr>
      </w:pPr>
    </w:p>
    <w:p w14:paraId="03D297DD">
      <w:pPr>
        <w:keepNext/>
        <w:keepLines/>
        <w:spacing w:line="360" w:lineRule="auto"/>
        <w:jc w:val="center"/>
        <w:rPr>
          <w:szCs w:val="21"/>
        </w:rPr>
      </w:pPr>
    </w:p>
    <w:p w14:paraId="26F29299">
      <w:pPr>
        <w:keepNext/>
        <w:keepLines/>
        <w:spacing w:line="360" w:lineRule="auto"/>
        <w:jc w:val="center"/>
        <w:rPr>
          <w:szCs w:val="21"/>
        </w:rPr>
      </w:pPr>
    </w:p>
    <w:p w14:paraId="255D68DC">
      <w:pPr>
        <w:keepNext/>
        <w:keepLines/>
        <w:spacing w:line="360" w:lineRule="auto"/>
        <w:jc w:val="center"/>
        <w:rPr>
          <w:szCs w:val="21"/>
        </w:rPr>
      </w:pPr>
    </w:p>
    <w:p w14:paraId="011011B9">
      <w:pPr>
        <w:pStyle w:val="2"/>
        <w:spacing w:before="0" w:after="0" w:line="360" w:lineRule="auto"/>
        <w:jc w:val="center"/>
        <w:rPr>
          <w:rFonts w:ascii="宋体" w:hAnsi="宋体"/>
          <w:kern w:val="0"/>
        </w:rPr>
      </w:pPr>
      <w:r>
        <w:rPr>
          <w:rFonts w:hint="eastAsia"/>
          <w:szCs w:val="21"/>
        </w:rPr>
        <w:t xml:space="preserve"> </w:t>
      </w:r>
      <w:bookmarkStart w:id="11" w:name="_Toc414745347"/>
      <w:bookmarkStart w:id="12" w:name="_Toc20538"/>
      <w:bookmarkStart w:id="13" w:name="_Toc386099825"/>
      <w:bookmarkStart w:id="14" w:name="_Toc384824326"/>
      <w:r>
        <w:rPr>
          <w:rFonts w:hint="eastAsia" w:ascii="宋体" w:hAnsi="宋体"/>
          <w:kern w:val="0"/>
        </w:rPr>
        <w:t>第四章  合同条款</w:t>
      </w:r>
      <w:bookmarkEnd w:id="11"/>
      <w:bookmarkEnd w:id="12"/>
      <w:bookmarkEnd w:id="13"/>
      <w:bookmarkEnd w:id="14"/>
    </w:p>
    <w:p w14:paraId="54E3C680">
      <w:pPr>
        <w:spacing w:line="360" w:lineRule="auto"/>
        <w:ind w:firstLine="301" w:firstLineChars="100"/>
        <w:rPr>
          <w:rFonts w:ascii="宋体" w:hAnsi="宋体"/>
          <w:szCs w:val="28"/>
        </w:rPr>
      </w:pPr>
      <w:r>
        <w:rPr>
          <w:rFonts w:hint="eastAsia" w:ascii="宋体" w:hAnsi="宋体" w:cs="宋体"/>
          <w:b/>
          <w:bCs/>
          <w:sz w:val="30"/>
        </w:rPr>
        <w:t>（合同格式为合同的参考文本，合同签订双方可根据项目的具体要求进行修订）</w:t>
      </w:r>
    </w:p>
    <w:p w14:paraId="1CE85BBE">
      <w:pPr>
        <w:widowControl/>
        <w:tabs>
          <w:tab w:val="left" w:pos="1200"/>
        </w:tabs>
        <w:spacing w:line="360" w:lineRule="auto"/>
        <w:ind w:firstLine="420" w:firstLineChars="200"/>
        <w:jc w:val="left"/>
        <w:rPr>
          <w:szCs w:val="21"/>
        </w:rPr>
        <w:sectPr>
          <w:pgSz w:w="11906" w:h="16838"/>
          <w:pgMar w:top="1440" w:right="1080" w:bottom="1440" w:left="1080" w:header="851" w:footer="992" w:gutter="0"/>
          <w:cols w:space="720" w:num="1"/>
          <w:docGrid w:type="lines" w:linePitch="312" w:charSpace="0"/>
        </w:sectPr>
      </w:pPr>
    </w:p>
    <w:p w14:paraId="7D6A7EB5">
      <w:pPr>
        <w:tabs>
          <w:tab w:val="left" w:pos="720"/>
        </w:tabs>
        <w:spacing w:line="360" w:lineRule="auto"/>
        <w:jc w:val="center"/>
        <w:rPr>
          <w:rFonts w:hint="eastAsia" w:ascii="宋体"/>
          <w:b/>
          <w:sz w:val="52"/>
          <w:szCs w:val="52"/>
          <w:u w:val="single"/>
        </w:rPr>
      </w:pPr>
    </w:p>
    <w:p w14:paraId="715CACB5">
      <w:pPr>
        <w:tabs>
          <w:tab w:val="left" w:pos="720"/>
        </w:tabs>
        <w:spacing w:line="360" w:lineRule="auto"/>
        <w:jc w:val="center"/>
        <w:rPr>
          <w:rFonts w:hint="eastAsia" w:ascii="宋体"/>
          <w:b/>
          <w:sz w:val="52"/>
          <w:szCs w:val="52"/>
          <w:u w:val="single"/>
        </w:rPr>
      </w:pPr>
    </w:p>
    <w:p w14:paraId="05701E04">
      <w:pPr>
        <w:tabs>
          <w:tab w:val="left" w:pos="720"/>
        </w:tabs>
        <w:spacing w:line="360" w:lineRule="auto"/>
        <w:jc w:val="center"/>
        <w:rPr>
          <w:rFonts w:hint="eastAsia" w:ascii="宋体"/>
          <w:b/>
          <w:sz w:val="52"/>
          <w:szCs w:val="52"/>
          <w:u w:val="single"/>
        </w:rPr>
      </w:pPr>
    </w:p>
    <w:p w14:paraId="24BD4F63">
      <w:pPr>
        <w:tabs>
          <w:tab w:val="left" w:pos="720"/>
        </w:tabs>
        <w:spacing w:line="360" w:lineRule="auto"/>
        <w:jc w:val="center"/>
        <w:rPr>
          <w:rFonts w:ascii="宋体" w:hAnsi="宋体"/>
          <w:b/>
          <w:sz w:val="72"/>
          <w:szCs w:val="72"/>
        </w:rPr>
      </w:pPr>
      <w:r>
        <w:rPr>
          <w:rFonts w:hint="eastAsia" w:ascii="宋体"/>
          <w:b/>
          <w:sz w:val="52"/>
          <w:szCs w:val="52"/>
          <w:u w:val="single"/>
        </w:rPr>
        <w:t xml:space="preserve">广东省监狱中心医院     </w:t>
      </w:r>
      <w:r>
        <w:rPr>
          <w:rFonts w:hint="eastAsia" w:ascii="华文新魏" w:hAnsi="宋体" w:eastAsia="华文新魏"/>
          <w:bCs/>
          <w:spacing w:val="26"/>
          <w:sz w:val="72"/>
          <w:szCs w:val="72"/>
        </w:rPr>
        <w:t>采购</w:t>
      </w:r>
    </w:p>
    <w:p w14:paraId="333E90A1">
      <w:pPr>
        <w:tabs>
          <w:tab w:val="left" w:pos="720"/>
        </w:tabs>
        <w:spacing w:line="360" w:lineRule="auto"/>
        <w:rPr>
          <w:rFonts w:ascii="宋体" w:hAnsi="宋体"/>
          <w:b/>
          <w:szCs w:val="21"/>
        </w:rPr>
      </w:pPr>
    </w:p>
    <w:p w14:paraId="64E5D05F">
      <w:pPr>
        <w:tabs>
          <w:tab w:val="left" w:pos="720"/>
        </w:tabs>
        <w:spacing w:line="360" w:lineRule="auto"/>
        <w:jc w:val="center"/>
        <w:rPr>
          <w:rFonts w:ascii="宋体" w:hAnsi="宋体"/>
          <w:b/>
          <w:sz w:val="72"/>
          <w:szCs w:val="72"/>
        </w:rPr>
      </w:pPr>
      <w:r>
        <w:rPr>
          <w:rFonts w:hint="eastAsia" w:ascii="宋体" w:hAnsi="宋体"/>
          <w:b/>
          <w:sz w:val="72"/>
          <w:szCs w:val="72"/>
        </w:rPr>
        <w:t xml:space="preserve">合 </w:t>
      </w:r>
    </w:p>
    <w:p w14:paraId="648A4476">
      <w:pPr>
        <w:tabs>
          <w:tab w:val="left" w:pos="720"/>
        </w:tabs>
        <w:spacing w:line="360" w:lineRule="auto"/>
        <w:jc w:val="center"/>
        <w:rPr>
          <w:rFonts w:ascii="宋体" w:hAnsi="宋体"/>
          <w:b/>
          <w:sz w:val="72"/>
          <w:szCs w:val="72"/>
        </w:rPr>
      </w:pPr>
    </w:p>
    <w:p w14:paraId="65D57889">
      <w:pPr>
        <w:tabs>
          <w:tab w:val="left" w:pos="720"/>
        </w:tabs>
        <w:spacing w:line="360" w:lineRule="auto"/>
        <w:jc w:val="center"/>
        <w:rPr>
          <w:rFonts w:ascii="宋体" w:hAnsi="宋体"/>
          <w:b/>
          <w:sz w:val="72"/>
          <w:szCs w:val="72"/>
        </w:rPr>
      </w:pPr>
      <w:r>
        <w:rPr>
          <w:rFonts w:hint="eastAsia" w:ascii="宋体" w:hAnsi="宋体"/>
          <w:b/>
          <w:sz w:val="72"/>
          <w:szCs w:val="72"/>
        </w:rPr>
        <w:t xml:space="preserve">同 </w:t>
      </w:r>
    </w:p>
    <w:p w14:paraId="733DD1AA">
      <w:pPr>
        <w:tabs>
          <w:tab w:val="left" w:pos="720"/>
        </w:tabs>
        <w:spacing w:line="360" w:lineRule="auto"/>
        <w:jc w:val="center"/>
        <w:rPr>
          <w:rFonts w:ascii="宋体" w:hAnsi="宋体"/>
          <w:b/>
          <w:sz w:val="72"/>
          <w:szCs w:val="72"/>
        </w:rPr>
      </w:pPr>
    </w:p>
    <w:p w14:paraId="11148FD4">
      <w:pPr>
        <w:tabs>
          <w:tab w:val="left" w:pos="720"/>
        </w:tabs>
        <w:spacing w:line="360" w:lineRule="auto"/>
        <w:jc w:val="center"/>
        <w:rPr>
          <w:rFonts w:ascii="宋体" w:hAnsi="宋体"/>
          <w:b/>
          <w:szCs w:val="21"/>
        </w:rPr>
      </w:pPr>
      <w:r>
        <w:rPr>
          <w:rFonts w:hint="eastAsia" w:ascii="宋体" w:hAnsi="宋体"/>
          <w:b/>
          <w:sz w:val="72"/>
          <w:szCs w:val="72"/>
        </w:rPr>
        <w:t>书</w:t>
      </w:r>
    </w:p>
    <w:p w14:paraId="05002AFE">
      <w:pPr>
        <w:adjustRightInd w:val="0"/>
        <w:snapToGrid w:val="0"/>
        <w:spacing w:line="360" w:lineRule="auto"/>
        <w:ind w:left="1680"/>
        <w:rPr>
          <w:rFonts w:ascii="宋体"/>
          <w:b/>
          <w:sz w:val="28"/>
          <w:u w:val="single"/>
        </w:rPr>
      </w:pPr>
      <w:r>
        <w:rPr>
          <w:rFonts w:hint="eastAsia" w:ascii="宋体"/>
          <w:b/>
          <w:sz w:val="28"/>
        </w:rPr>
        <w:t>项目名称：</w:t>
      </w:r>
      <w:r>
        <w:rPr>
          <w:rFonts w:hint="eastAsia" w:ascii="宋体"/>
          <w:b/>
          <w:sz w:val="28"/>
          <w:u w:val="single"/>
        </w:rPr>
        <w:t xml:space="preserve">                          </w:t>
      </w:r>
    </w:p>
    <w:p w14:paraId="161B7FDF">
      <w:pPr>
        <w:adjustRightInd w:val="0"/>
        <w:snapToGrid w:val="0"/>
        <w:spacing w:line="360" w:lineRule="auto"/>
        <w:ind w:left="1680"/>
        <w:rPr>
          <w:rFonts w:ascii="宋体"/>
          <w:b/>
          <w:sz w:val="28"/>
        </w:rPr>
      </w:pPr>
      <w:r>
        <w:rPr>
          <w:rFonts w:hint="eastAsia" w:ascii="宋体"/>
          <w:b/>
          <w:sz w:val="28"/>
        </w:rPr>
        <w:t>合同编号：</w:t>
      </w:r>
      <w:r>
        <w:rPr>
          <w:rFonts w:hint="eastAsia" w:ascii="宋体"/>
          <w:b/>
          <w:sz w:val="28"/>
          <w:u w:val="single"/>
        </w:rPr>
        <w:t xml:space="preserve">                          </w:t>
      </w:r>
    </w:p>
    <w:p w14:paraId="24342713">
      <w:pPr>
        <w:adjustRightInd w:val="0"/>
        <w:snapToGrid w:val="0"/>
        <w:spacing w:line="360" w:lineRule="auto"/>
        <w:ind w:left="1680"/>
        <w:rPr>
          <w:rFonts w:ascii="宋体"/>
          <w:b/>
          <w:sz w:val="28"/>
        </w:rPr>
      </w:pPr>
      <w:r>
        <w:rPr>
          <w:rFonts w:hint="eastAsia" w:ascii="宋体"/>
          <w:b/>
          <w:sz w:val="28"/>
        </w:rPr>
        <w:t>签约地点：</w:t>
      </w:r>
      <w:r>
        <w:rPr>
          <w:rFonts w:hint="eastAsia" w:ascii="宋体"/>
          <w:b/>
          <w:sz w:val="28"/>
          <w:u w:val="single"/>
        </w:rPr>
        <w:t xml:space="preserve">                          </w:t>
      </w:r>
    </w:p>
    <w:p w14:paraId="29F9A305">
      <w:pPr>
        <w:widowControl/>
        <w:jc w:val="left"/>
        <w:rPr>
          <w:rFonts w:ascii="宋体"/>
          <w:b/>
          <w:sz w:val="28"/>
        </w:rPr>
      </w:pPr>
      <w:r>
        <w:rPr>
          <w:rFonts w:ascii="宋体"/>
          <w:b/>
          <w:sz w:val="28"/>
        </w:rPr>
        <w:br w:type="page"/>
      </w:r>
    </w:p>
    <w:p w14:paraId="66C3BCFC">
      <w:pPr>
        <w:tabs>
          <w:tab w:val="left" w:pos="720"/>
        </w:tabs>
        <w:spacing w:line="360" w:lineRule="auto"/>
        <w:outlineLvl w:val="0"/>
        <w:rPr>
          <w:rFonts w:ascii="宋体" w:hAnsi="宋体"/>
          <w:b/>
          <w:szCs w:val="21"/>
        </w:rPr>
      </w:pPr>
      <w:r>
        <w:rPr>
          <w:rFonts w:ascii="宋体" w:hAnsi="宋体"/>
          <w:b/>
          <w:szCs w:val="21"/>
        </w:rPr>
        <w:t>甲</w:t>
      </w:r>
      <w:r>
        <w:rPr>
          <w:rFonts w:hint="eastAsia" w:ascii="宋体" w:hAnsi="宋体"/>
          <w:b/>
          <w:szCs w:val="21"/>
        </w:rPr>
        <w:t xml:space="preserve">    </w:t>
      </w:r>
      <w:r>
        <w:rPr>
          <w:rFonts w:ascii="宋体" w:hAnsi="宋体"/>
          <w:b/>
          <w:szCs w:val="21"/>
        </w:rPr>
        <w:t>方：</w:t>
      </w:r>
      <w:r>
        <w:rPr>
          <w:rFonts w:hint="eastAsia" w:ascii="宋体" w:hAnsi="宋体"/>
          <w:b/>
          <w:szCs w:val="21"/>
          <w:u w:val="single"/>
        </w:rPr>
        <w:t xml:space="preserve">   广东省监狱中心医院      </w:t>
      </w:r>
    </w:p>
    <w:p w14:paraId="203B4880">
      <w:pPr>
        <w:spacing w:line="360" w:lineRule="auto"/>
        <w:rPr>
          <w:rFonts w:ascii="宋体" w:hAnsi="宋体"/>
          <w:szCs w:val="21"/>
        </w:rPr>
      </w:pPr>
      <w:r>
        <w:rPr>
          <w:rFonts w:hint="eastAsia" w:ascii="宋体" w:hAnsi="宋体"/>
          <w:szCs w:val="21"/>
        </w:rPr>
        <w:t>地  址：广州市白云区石井石潭西路88号</w:t>
      </w:r>
    </w:p>
    <w:p w14:paraId="2B9FD66A">
      <w:pPr>
        <w:spacing w:line="360" w:lineRule="auto"/>
        <w:outlineLvl w:val="0"/>
        <w:rPr>
          <w:rFonts w:ascii="宋体" w:hAnsi="宋体"/>
          <w:b/>
          <w:szCs w:val="21"/>
          <w:u w:val="single"/>
        </w:rPr>
      </w:pPr>
      <w:r>
        <w:rPr>
          <w:rFonts w:ascii="宋体" w:hAnsi="宋体"/>
          <w:b/>
          <w:szCs w:val="21"/>
        </w:rPr>
        <w:t>乙</w:t>
      </w:r>
      <w:r>
        <w:rPr>
          <w:rFonts w:hint="eastAsia" w:ascii="宋体" w:hAnsi="宋体"/>
          <w:b/>
          <w:szCs w:val="21"/>
        </w:rPr>
        <w:t xml:space="preserve">    </w:t>
      </w:r>
      <w:r>
        <w:rPr>
          <w:rFonts w:ascii="宋体" w:hAnsi="宋体"/>
          <w:b/>
          <w:szCs w:val="21"/>
        </w:rPr>
        <w:t>方：</w:t>
      </w:r>
      <w:r>
        <w:rPr>
          <w:rFonts w:hint="eastAsia" w:ascii="宋体" w:hAnsi="宋体"/>
          <w:b/>
          <w:szCs w:val="21"/>
          <w:u w:val="single"/>
        </w:rPr>
        <w:t xml:space="preserve">                           </w:t>
      </w:r>
    </w:p>
    <w:p w14:paraId="55E848F7">
      <w:pPr>
        <w:spacing w:line="360" w:lineRule="auto"/>
        <w:outlineLvl w:val="0"/>
        <w:rPr>
          <w:rFonts w:ascii="宋体" w:hAnsi="宋体"/>
          <w:szCs w:val="21"/>
        </w:rPr>
      </w:pPr>
      <w:r>
        <w:rPr>
          <w:rFonts w:hint="eastAsia" w:ascii="宋体" w:hAnsi="宋体"/>
          <w:szCs w:val="21"/>
        </w:rPr>
        <w:t>地  址：</w:t>
      </w:r>
      <w:r>
        <w:rPr>
          <w:rFonts w:ascii="宋体" w:hAnsi="宋体"/>
          <w:szCs w:val="21"/>
        </w:rPr>
        <w:t xml:space="preserve">  </w:t>
      </w:r>
    </w:p>
    <w:p w14:paraId="7D54F746">
      <w:pPr>
        <w:tabs>
          <w:tab w:val="left" w:pos="720"/>
        </w:tabs>
        <w:spacing w:line="360" w:lineRule="auto"/>
        <w:rPr>
          <w:rFonts w:ascii="宋体" w:hAnsi="宋体"/>
          <w:b/>
          <w:szCs w:val="21"/>
        </w:rPr>
      </w:pPr>
      <w:r>
        <w:rPr>
          <w:rFonts w:hint="eastAsia" w:ascii="宋体" w:hAnsi="宋体"/>
          <w:szCs w:val="21"/>
        </w:rPr>
        <w:t>项目名称：</w:t>
      </w:r>
      <w:r>
        <w:rPr>
          <w:rFonts w:hint="eastAsia" w:ascii="宋体" w:hAnsi="宋体"/>
          <w:bCs/>
          <w:iCs/>
          <w:szCs w:val="21"/>
        </w:rPr>
        <w:t xml:space="preserve">                       </w:t>
      </w:r>
      <w:r>
        <w:rPr>
          <w:rFonts w:hint="eastAsia" w:ascii="宋体" w:hAnsi="宋体"/>
          <w:szCs w:val="21"/>
        </w:rPr>
        <w:t xml:space="preserve">               招标编号：              </w:t>
      </w:r>
    </w:p>
    <w:p w14:paraId="5B846FCE">
      <w:pPr>
        <w:spacing w:line="360" w:lineRule="auto"/>
        <w:rPr>
          <w:rFonts w:ascii="宋体" w:hAnsi="宋体"/>
          <w:szCs w:val="21"/>
        </w:rPr>
      </w:pPr>
    </w:p>
    <w:p w14:paraId="2553ABCA">
      <w:pPr>
        <w:spacing w:line="360" w:lineRule="auto"/>
        <w:rPr>
          <w:rFonts w:ascii="宋体" w:hAnsi="宋体"/>
          <w:szCs w:val="21"/>
        </w:rPr>
      </w:pPr>
      <w:r>
        <w:rPr>
          <w:rFonts w:ascii="宋体" w:hAnsi="宋体"/>
          <w:szCs w:val="21"/>
        </w:rPr>
        <w:t xml:space="preserve">    </w:t>
      </w:r>
      <w:r>
        <w:rPr>
          <w:rFonts w:hint="eastAsia" w:ascii="宋体" w:hAnsi="宋体"/>
          <w:szCs w:val="21"/>
        </w:rPr>
        <w:t xml:space="preserve">根据 </w:t>
      </w:r>
      <w:r>
        <w:rPr>
          <w:rFonts w:hint="eastAsia" w:ascii="宋体" w:hAnsi="宋体"/>
          <w:szCs w:val="21"/>
          <w:u w:val="single"/>
        </w:rPr>
        <w:t xml:space="preserve">             采购项目</w:t>
      </w:r>
      <w:r>
        <w:rPr>
          <w:rFonts w:hint="eastAsia" w:ascii="宋体" w:hAnsi="宋体"/>
          <w:szCs w:val="21"/>
        </w:rPr>
        <w:t>的采购结果，按照《中华人民共和国民法典》的相关规定，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w:t>
      </w:r>
    </w:p>
    <w:p w14:paraId="16529FE1">
      <w:pPr>
        <w:numPr>
          <w:ilvl w:val="0"/>
          <w:numId w:val="3"/>
        </w:numPr>
        <w:tabs>
          <w:tab w:val="left" w:pos="630"/>
        </w:tabs>
        <w:spacing w:line="360" w:lineRule="auto"/>
        <w:ind w:left="0" w:firstLine="0"/>
        <w:rPr>
          <w:rFonts w:ascii="宋体" w:hAnsi="宋体"/>
          <w:b/>
          <w:szCs w:val="21"/>
        </w:rPr>
      </w:pPr>
      <w:r>
        <w:rPr>
          <w:rFonts w:hint="eastAsia" w:ascii="宋体" w:hAnsi="宋体"/>
          <w:b/>
          <w:szCs w:val="21"/>
        </w:rPr>
        <w:t>货物内容</w:t>
      </w:r>
      <w:r>
        <w:rPr>
          <w:rFonts w:ascii="宋体" w:hAnsi="宋体"/>
          <w:b/>
          <w:szCs w:val="21"/>
        </w:rPr>
        <w:t xml:space="preserve"> </w:t>
      </w:r>
    </w:p>
    <w:tbl>
      <w:tblPr>
        <w:tblStyle w:val="2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3415"/>
        <w:gridCol w:w="900"/>
        <w:gridCol w:w="900"/>
        <w:gridCol w:w="1080"/>
        <w:gridCol w:w="900"/>
      </w:tblGrid>
      <w:tr w14:paraId="68B9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9" w:type="dxa"/>
            <w:tcBorders>
              <w:left w:val="single" w:color="auto" w:sz="8" w:space="0"/>
              <w:right w:val="single" w:color="auto" w:sz="4" w:space="0"/>
            </w:tcBorders>
            <w:vAlign w:val="center"/>
          </w:tcPr>
          <w:p w14:paraId="732FBD1E">
            <w:pPr>
              <w:spacing w:line="360" w:lineRule="auto"/>
              <w:jc w:val="center"/>
              <w:rPr>
                <w:rFonts w:ascii="宋体" w:hAnsi="宋体"/>
                <w:szCs w:val="21"/>
              </w:rPr>
            </w:pPr>
            <w:r>
              <w:rPr>
                <w:rFonts w:hint="eastAsia" w:ascii="宋体" w:hAnsi="宋体"/>
                <w:szCs w:val="21"/>
              </w:rPr>
              <w:t>序号</w:t>
            </w:r>
          </w:p>
        </w:tc>
        <w:tc>
          <w:tcPr>
            <w:tcW w:w="1276" w:type="dxa"/>
            <w:tcBorders>
              <w:left w:val="single" w:color="auto" w:sz="8" w:space="0"/>
              <w:right w:val="single" w:color="auto" w:sz="4" w:space="0"/>
            </w:tcBorders>
            <w:vAlign w:val="center"/>
          </w:tcPr>
          <w:p w14:paraId="71DA5D24">
            <w:pPr>
              <w:spacing w:line="360" w:lineRule="auto"/>
              <w:jc w:val="center"/>
              <w:rPr>
                <w:rFonts w:ascii="宋体" w:hAnsi="宋体"/>
                <w:szCs w:val="21"/>
              </w:rPr>
            </w:pPr>
            <w:r>
              <w:rPr>
                <w:rFonts w:hint="eastAsia" w:ascii="宋体" w:hAnsi="宋体"/>
                <w:szCs w:val="21"/>
              </w:rPr>
              <w:t>商品名称</w:t>
            </w:r>
          </w:p>
        </w:tc>
        <w:tc>
          <w:tcPr>
            <w:tcW w:w="3415" w:type="dxa"/>
            <w:tcBorders>
              <w:left w:val="single" w:color="auto" w:sz="4" w:space="0"/>
              <w:bottom w:val="single" w:color="auto" w:sz="8" w:space="0"/>
              <w:right w:val="single" w:color="auto" w:sz="4" w:space="0"/>
            </w:tcBorders>
            <w:vAlign w:val="center"/>
          </w:tcPr>
          <w:p w14:paraId="4C6D3523">
            <w:pPr>
              <w:spacing w:line="360" w:lineRule="auto"/>
              <w:jc w:val="center"/>
              <w:rPr>
                <w:rFonts w:ascii="宋体" w:hAnsi="宋体"/>
                <w:szCs w:val="21"/>
              </w:rPr>
            </w:pPr>
            <w:r>
              <w:rPr>
                <w:rFonts w:hint="eastAsia" w:ascii="宋体" w:hAnsi="宋体"/>
                <w:szCs w:val="21"/>
              </w:rPr>
              <w:t>品牌、规格型号、配置（性能参数）</w:t>
            </w:r>
          </w:p>
        </w:tc>
        <w:tc>
          <w:tcPr>
            <w:tcW w:w="900" w:type="dxa"/>
            <w:tcBorders>
              <w:left w:val="single" w:color="auto" w:sz="4" w:space="0"/>
              <w:bottom w:val="single" w:color="auto" w:sz="8" w:space="0"/>
              <w:right w:val="single" w:color="auto" w:sz="4" w:space="0"/>
            </w:tcBorders>
            <w:vAlign w:val="center"/>
          </w:tcPr>
          <w:p w14:paraId="128BAF3F">
            <w:pPr>
              <w:spacing w:line="360" w:lineRule="auto"/>
              <w:jc w:val="center"/>
              <w:rPr>
                <w:rFonts w:ascii="宋体" w:hAnsi="宋体"/>
                <w:szCs w:val="21"/>
              </w:rPr>
            </w:pPr>
            <w:r>
              <w:rPr>
                <w:rFonts w:hint="eastAsia" w:ascii="宋体" w:hAnsi="宋体"/>
                <w:szCs w:val="21"/>
              </w:rPr>
              <w:t>产地</w:t>
            </w:r>
          </w:p>
        </w:tc>
        <w:tc>
          <w:tcPr>
            <w:tcW w:w="900" w:type="dxa"/>
            <w:tcBorders>
              <w:left w:val="single" w:color="auto" w:sz="4" w:space="0"/>
              <w:bottom w:val="single" w:color="auto" w:sz="8" w:space="0"/>
              <w:right w:val="single" w:color="auto" w:sz="4" w:space="0"/>
            </w:tcBorders>
            <w:vAlign w:val="center"/>
          </w:tcPr>
          <w:p w14:paraId="768B9B2F">
            <w:pPr>
              <w:spacing w:line="360" w:lineRule="auto"/>
              <w:jc w:val="center"/>
              <w:rPr>
                <w:rFonts w:ascii="宋体" w:hAnsi="宋体"/>
                <w:szCs w:val="21"/>
              </w:rPr>
            </w:pPr>
            <w:r>
              <w:rPr>
                <w:rFonts w:hint="eastAsia" w:ascii="宋体" w:hAnsi="宋体"/>
                <w:szCs w:val="21"/>
              </w:rPr>
              <w:t>数量</w:t>
            </w:r>
          </w:p>
        </w:tc>
        <w:tc>
          <w:tcPr>
            <w:tcW w:w="1080" w:type="dxa"/>
            <w:tcBorders>
              <w:left w:val="single" w:color="auto" w:sz="4" w:space="0"/>
              <w:bottom w:val="nil"/>
              <w:right w:val="single" w:color="auto" w:sz="8" w:space="0"/>
            </w:tcBorders>
            <w:vAlign w:val="center"/>
          </w:tcPr>
          <w:p w14:paraId="4007B4E3">
            <w:pPr>
              <w:spacing w:line="360" w:lineRule="auto"/>
              <w:jc w:val="center"/>
              <w:rPr>
                <w:rFonts w:ascii="宋体" w:hAnsi="宋体"/>
                <w:szCs w:val="21"/>
              </w:rPr>
            </w:pPr>
            <w:r>
              <w:rPr>
                <w:rFonts w:hint="eastAsia" w:ascii="宋体" w:hAnsi="宋体"/>
                <w:szCs w:val="21"/>
              </w:rPr>
              <w:t>单价</w:t>
            </w:r>
            <w:r>
              <w:rPr>
                <w:rFonts w:ascii="宋体" w:hAnsi="宋体"/>
                <w:szCs w:val="21"/>
              </w:rPr>
              <w:t>(</w:t>
            </w:r>
            <w:r>
              <w:rPr>
                <w:rFonts w:hint="eastAsia" w:ascii="宋体" w:hAnsi="宋体"/>
                <w:szCs w:val="21"/>
              </w:rPr>
              <w:t>元</w:t>
            </w:r>
            <w:r>
              <w:rPr>
                <w:rFonts w:ascii="宋体" w:hAnsi="宋体"/>
                <w:szCs w:val="21"/>
              </w:rPr>
              <w:t>)</w:t>
            </w:r>
          </w:p>
        </w:tc>
        <w:tc>
          <w:tcPr>
            <w:tcW w:w="900" w:type="dxa"/>
            <w:tcBorders>
              <w:left w:val="single" w:color="auto" w:sz="4" w:space="0"/>
              <w:bottom w:val="nil"/>
              <w:right w:val="single" w:color="auto" w:sz="8" w:space="0"/>
            </w:tcBorders>
            <w:vAlign w:val="center"/>
          </w:tcPr>
          <w:p w14:paraId="2B1B9322">
            <w:pPr>
              <w:spacing w:line="360" w:lineRule="auto"/>
              <w:jc w:val="center"/>
              <w:rPr>
                <w:rFonts w:ascii="宋体" w:hAnsi="宋体"/>
                <w:szCs w:val="21"/>
              </w:rPr>
            </w:pPr>
            <w:r>
              <w:rPr>
                <w:rFonts w:hint="eastAsia" w:ascii="宋体" w:hAnsi="宋体"/>
                <w:szCs w:val="21"/>
              </w:rPr>
              <w:t>金额</w:t>
            </w:r>
            <w:r>
              <w:rPr>
                <w:rFonts w:ascii="宋体" w:hAnsi="宋体"/>
                <w:szCs w:val="21"/>
              </w:rPr>
              <w:t>(</w:t>
            </w:r>
            <w:r>
              <w:rPr>
                <w:rFonts w:hint="eastAsia" w:ascii="宋体" w:hAnsi="宋体"/>
                <w:szCs w:val="21"/>
              </w:rPr>
              <w:t>元</w:t>
            </w:r>
            <w:r>
              <w:rPr>
                <w:rFonts w:ascii="宋体" w:hAnsi="宋体"/>
                <w:szCs w:val="21"/>
              </w:rPr>
              <w:t>)</w:t>
            </w:r>
          </w:p>
        </w:tc>
      </w:tr>
      <w:tr w14:paraId="1180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09" w:type="dxa"/>
            <w:tcBorders>
              <w:left w:val="single" w:color="auto" w:sz="8" w:space="0"/>
              <w:right w:val="single" w:color="auto" w:sz="4" w:space="0"/>
            </w:tcBorders>
            <w:vAlign w:val="center"/>
          </w:tcPr>
          <w:p w14:paraId="5D8DAD18">
            <w:pPr>
              <w:spacing w:line="360" w:lineRule="auto"/>
              <w:jc w:val="center"/>
              <w:rPr>
                <w:rFonts w:ascii="宋体" w:hAnsi="宋体"/>
                <w:szCs w:val="21"/>
              </w:rPr>
            </w:pPr>
          </w:p>
        </w:tc>
        <w:tc>
          <w:tcPr>
            <w:tcW w:w="1276" w:type="dxa"/>
            <w:tcBorders>
              <w:left w:val="single" w:color="auto" w:sz="8" w:space="0"/>
              <w:right w:val="single" w:color="auto" w:sz="4" w:space="0"/>
            </w:tcBorders>
            <w:vAlign w:val="center"/>
          </w:tcPr>
          <w:p w14:paraId="2120E3EB">
            <w:pPr>
              <w:autoSpaceDE w:val="0"/>
              <w:autoSpaceDN w:val="0"/>
              <w:spacing w:line="360" w:lineRule="auto"/>
              <w:jc w:val="center"/>
              <w:rPr>
                <w:rFonts w:ascii="宋体" w:hAnsi="宋体"/>
                <w:szCs w:val="21"/>
                <w:lang w:val="hr-HR"/>
              </w:rPr>
            </w:pPr>
          </w:p>
        </w:tc>
        <w:tc>
          <w:tcPr>
            <w:tcW w:w="3415" w:type="dxa"/>
            <w:tcBorders>
              <w:left w:val="single" w:color="auto" w:sz="4" w:space="0"/>
              <w:right w:val="single" w:color="auto" w:sz="4" w:space="0"/>
            </w:tcBorders>
            <w:vAlign w:val="center"/>
          </w:tcPr>
          <w:p w14:paraId="070B58E7">
            <w:pPr>
              <w:spacing w:line="360" w:lineRule="auto"/>
              <w:jc w:val="center"/>
              <w:rPr>
                <w:rFonts w:ascii="宋体" w:hAnsi="宋体"/>
                <w:szCs w:val="21"/>
              </w:rPr>
            </w:pPr>
          </w:p>
        </w:tc>
        <w:tc>
          <w:tcPr>
            <w:tcW w:w="900" w:type="dxa"/>
            <w:tcBorders>
              <w:left w:val="single" w:color="auto" w:sz="4" w:space="0"/>
              <w:bottom w:val="single" w:color="auto" w:sz="8" w:space="0"/>
              <w:right w:val="single" w:color="auto" w:sz="4" w:space="0"/>
            </w:tcBorders>
            <w:vAlign w:val="center"/>
          </w:tcPr>
          <w:p w14:paraId="2E5D0FF3">
            <w:pPr>
              <w:spacing w:line="360" w:lineRule="auto"/>
              <w:rPr>
                <w:rFonts w:ascii="宋体" w:hAnsi="宋体"/>
                <w:szCs w:val="21"/>
              </w:rPr>
            </w:pPr>
          </w:p>
        </w:tc>
        <w:tc>
          <w:tcPr>
            <w:tcW w:w="900" w:type="dxa"/>
            <w:tcBorders>
              <w:left w:val="single" w:color="auto" w:sz="4" w:space="0"/>
              <w:bottom w:val="single" w:color="auto" w:sz="8" w:space="0"/>
              <w:right w:val="single" w:color="auto" w:sz="4" w:space="0"/>
            </w:tcBorders>
            <w:vAlign w:val="center"/>
          </w:tcPr>
          <w:p w14:paraId="3CEFD1CB">
            <w:pPr>
              <w:autoSpaceDE w:val="0"/>
              <w:autoSpaceDN w:val="0"/>
              <w:spacing w:line="360" w:lineRule="auto"/>
              <w:jc w:val="center"/>
              <w:rPr>
                <w:rFonts w:ascii="宋体" w:hAnsi="宋体"/>
                <w:szCs w:val="21"/>
                <w:lang w:val="hr-HR"/>
              </w:rPr>
            </w:pPr>
          </w:p>
        </w:tc>
        <w:tc>
          <w:tcPr>
            <w:tcW w:w="1080" w:type="dxa"/>
            <w:tcBorders>
              <w:left w:val="single" w:color="auto" w:sz="4" w:space="0"/>
              <w:bottom w:val="nil"/>
              <w:right w:val="single" w:color="auto" w:sz="8" w:space="0"/>
            </w:tcBorders>
            <w:vAlign w:val="center"/>
          </w:tcPr>
          <w:p w14:paraId="3253AC92">
            <w:pPr>
              <w:spacing w:line="360" w:lineRule="auto"/>
              <w:jc w:val="center"/>
              <w:rPr>
                <w:rFonts w:ascii="宋体" w:hAnsi="宋体"/>
                <w:szCs w:val="21"/>
              </w:rPr>
            </w:pPr>
          </w:p>
        </w:tc>
        <w:tc>
          <w:tcPr>
            <w:tcW w:w="900" w:type="dxa"/>
            <w:tcBorders>
              <w:left w:val="single" w:color="auto" w:sz="4" w:space="0"/>
              <w:bottom w:val="nil"/>
              <w:right w:val="single" w:color="auto" w:sz="8" w:space="0"/>
            </w:tcBorders>
            <w:vAlign w:val="center"/>
          </w:tcPr>
          <w:p w14:paraId="5B75BF75">
            <w:pPr>
              <w:spacing w:line="360" w:lineRule="auto"/>
              <w:ind w:left="-92" w:leftChars="-44"/>
              <w:jc w:val="center"/>
              <w:rPr>
                <w:rFonts w:ascii="宋体" w:hAnsi="宋体"/>
                <w:szCs w:val="21"/>
              </w:rPr>
            </w:pPr>
          </w:p>
        </w:tc>
      </w:tr>
      <w:tr w14:paraId="16C1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09" w:type="dxa"/>
            <w:tcBorders>
              <w:left w:val="single" w:color="auto" w:sz="8" w:space="0"/>
              <w:right w:val="single" w:color="auto" w:sz="4" w:space="0"/>
            </w:tcBorders>
            <w:vAlign w:val="center"/>
          </w:tcPr>
          <w:p w14:paraId="2C4D5746">
            <w:pPr>
              <w:spacing w:line="360" w:lineRule="auto"/>
              <w:jc w:val="center"/>
              <w:rPr>
                <w:rFonts w:ascii="宋体" w:hAnsi="宋体"/>
                <w:szCs w:val="21"/>
              </w:rPr>
            </w:pPr>
          </w:p>
        </w:tc>
        <w:tc>
          <w:tcPr>
            <w:tcW w:w="1276" w:type="dxa"/>
            <w:tcBorders>
              <w:left w:val="single" w:color="auto" w:sz="8" w:space="0"/>
              <w:right w:val="single" w:color="auto" w:sz="4" w:space="0"/>
            </w:tcBorders>
            <w:vAlign w:val="center"/>
          </w:tcPr>
          <w:p w14:paraId="520E9411">
            <w:pPr>
              <w:autoSpaceDE w:val="0"/>
              <w:autoSpaceDN w:val="0"/>
              <w:spacing w:line="360" w:lineRule="auto"/>
              <w:jc w:val="center"/>
              <w:rPr>
                <w:rFonts w:ascii="宋体" w:hAnsi="宋体"/>
                <w:bCs/>
                <w:szCs w:val="21"/>
              </w:rPr>
            </w:pPr>
          </w:p>
        </w:tc>
        <w:tc>
          <w:tcPr>
            <w:tcW w:w="3415" w:type="dxa"/>
            <w:tcBorders>
              <w:left w:val="single" w:color="auto" w:sz="4" w:space="0"/>
              <w:right w:val="single" w:color="auto" w:sz="4" w:space="0"/>
            </w:tcBorders>
            <w:vAlign w:val="center"/>
          </w:tcPr>
          <w:p w14:paraId="2F123D1A">
            <w:pPr>
              <w:spacing w:line="360" w:lineRule="auto"/>
              <w:jc w:val="center"/>
              <w:rPr>
                <w:rFonts w:ascii="宋体" w:hAnsi="宋体"/>
                <w:szCs w:val="21"/>
              </w:rPr>
            </w:pPr>
          </w:p>
        </w:tc>
        <w:tc>
          <w:tcPr>
            <w:tcW w:w="900" w:type="dxa"/>
            <w:tcBorders>
              <w:left w:val="single" w:color="auto" w:sz="4" w:space="0"/>
              <w:bottom w:val="single" w:color="auto" w:sz="8" w:space="0"/>
              <w:right w:val="single" w:color="auto" w:sz="4" w:space="0"/>
            </w:tcBorders>
            <w:vAlign w:val="center"/>
          </w:tcPr>
          <w:p w14:paraId="5AB2C328">
            <w:pPr>
              <w:spacing w:line="360" w:lineRule="auto"/>
              <w:rPr>
                <w:rFonts w:ascii="宋体" w:hAnsi="宋体"/>
                <w:szCs w:val="21"/>
              </w:rPr>
            </w:pPr>
          </w:p>
        </w:tc>
        <w:tc>
          <w:tcPr>
            <w:tcW w:w="900" w:type="dxa"/>
            <w:tcBorders>
              <w:left w:val="single" w:color="auto" w:sz="4" w:space="0"/>
              <w:bottom w:val="single" w:color="auto" w:sz="8" w:space="0"/>
              <w:right w:val="single" w:color="auto" w:sz="4" w:space="0"/>
            </w:tcBorders>
            <w:vAlign w:val="center"/>
          </w:tcPr>
          <w:p w14:paraId="7872915E">
            <w:pPr>
              <w:autoSpaceDE w:val="0"/>
              <w:autoSpaceDN w:val="0"/>
              <w:spacing w:line="360" w:lineRule="auto"/>
              <w:jc w:val="center"/>
              <w:rPr>
                <w:rFonts w:ascii="宋体" w:hAnsi="宋体"/>
                <w:szCs w:val="21"/>
                <w:lang w:val="hr-HR"/>
              </w:rPr>
            </w:pPr>
          </w:p>
        </w:tc>
        <w:tc>
          <w:tcPr>
            <w:tcW w:w="1080" w:type="dxa"/>
            <w:tcBorders>
              <w:left w:val="single" w:color="auto" w:sz="4" w:space="0"/>
              <w:bottom w:val="nil"/>
              <w:right w:val="single" w:color="auto" w:sz="8" w:space="0"/>
            </w:tcBorders>
            <w:vAlign w:val="center"/>
          </w:tcPr>
          <w:p w14:paraId="4E8172FE">
            <w:pPr>
              <w:spacing w:line="360" w:lineRule="auto"/>
              <w:jc w:val="center"/>
              <w:rPr>
                <w:rFonts w:ascii="宋体" w:hAnsi="宋体"/>
                <w:szCs w:val="21"/>
              </w:rPr>
            </w:pPr>
          </w:p>
        </w:tc>
        <w:tc>
          <w:tcPr>
            <w:tcW w:w="900" w:type="dxa"/>
            <w:tcBorders>
              <w:left w:val="single" w:color="auto" w:sz="4" w:space="0"/>
              <w:bottom w:val="nil"/>
              <w:right w:val="single" w:color="auto" w:sz="8" w:space="0"/>
            </w:tcBorders>
            <w:vAlign w:val="center"/>
          </w:tcPr>
          <w:p w14:paraId="2126268B">
            <w:pPr>
              <w:spacing w:line="360" w:lineRule="auto"/>
              <w:ind w:left="-92" w:leftChars="-44"/>
              <w:jc w:val="center"/>
              <w:rPr>
                <w:rFonts w:ascii="宋体" w:hAnsi="宋体"/>
                <w:szCs w:val="21"/>
              </w:rPr>
            </w:pPr>
          </w:p>
        </w:tc>
      </w:tr>
      <w:tr w14:paraId="04B8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09" w:type="dxa"/>
            <w:tcBorders>
              <w:left w:val="single" w:color="auto" w:sz="8" w:space="0"/>
              <w:right w:val="single" w:color="auto" w:sz="4" w:space="0"/>
            </w:tcBorders>
            <w:vAlign w:val="center"/>
          </w:tcPr>
          <w:p w14:paraId="65D02264">
            <w:pPr>
              <w:spacing w:line="360" w:lineRule="auto"/>
              <w:jc w:val="center"/>
              <w:rPr>
                <w:rFonts w:ascii="宋体" w:hAnsi="宋体"/>
                <w:szCs w:val="21"/>
              </w:rPr>
            </w:pPr>
          </w:p>
        </w:tc>
        <w:tc>
          <w:tcPr>
            <w:tcW w:w="1276" w:type="dxa"/>
            <w:tcBorders>
              <w:left w:val="single" w:color="auto" w:sz="8" w:space="0"/>
              <w:right w:val="single" w:color="auto" w:sz="4" w:space="0"/>
            </w:tcBorders>
            <w:vAlign w:val="center"/>
          </w:tcPr>
          <w:p w14:paraId="7CCA7B15">
            <w:pPr>
              <w:autoSpaceDE w:val="0"/>
              <w:autoSpaceDN w:val="0"/>
              <w:spacing w:line="360" w:lineRule="auto"/>
              <w:jc w:val="center"/>
              <w:rPr>
                <w:rFonts w:ascii="宋体" w:hAnsi="宋体"/>
                <w:bCs/>
                <w:szCs w:val="21"/>
              </w:rPr>
            </w:pPr>
          </w:p>
        </w:tc>
        <w:tc>
          <w:tcPr>
            <w:tcW w:w="3415" w:type="dxa"/>
            <w:tcBorders>
              <w:left w:val="single" w:color="auto" w:sz="4" w:space="0"/>
              <w:right w:val="single" w:color="auto" w:sz="4" w:space="0"/>
            </w:tcBorders>
            <w:vAlign w:val="center"/>
          </w:tcPr>
          <w:p w14:paraId="6DAE8863">
            <w:pPr>
              <w:spacing w:line="360" w:lineRule="auto"/>
              <w:jc w:val="center"/>
              <w:rPr>
                <w:rFonts w:ascii="宋体" w:hAnsi="宋体"/>
                <w:szCs w:val="21"/>
              </w:rPr>
            </w:pPr>
          </w:p>
        </w:tc>
        <w:tc>
          <w:tcPr>
            <w:tcW w:w="900" w:type="dxa"/>
            <w:tcBorders>
              <w:left w:val="single" w:color="auto" w:sz="4" w:space="0"/>
              <w:bottom w:val="single" w:color="auto" w:sz="8" w:space="0"/>
              <w:right w:val="single" w:color="auto" w:sz="4" w:space="0"/>
            </w:tcBorders>
            <w:vAlign w:val="center"/>
          </w:tcPr>
          <w:p w14:paraId="35A6AEFA">
            <w:pPr>
              <w:spacing w:line="360" w:lineRule="auto"/>
              <w:rPr>
                <w:rFonts w:ascii="宋体" w:hAnsi="宋体"/>
                <w:szCs w:val="21"/>
              </w:rPr>
            </w:pPr>
          </w:p>
        </w:tc>
        <w:tc>
          <w:tcPr>
            <w:tcW w:w="900" w:type="dxa"/>
            <w:tcBorders>
              <w:left w:val="single" w:color="auto" w:sz="4" w:space="0"/>
              <w:bottom w:val="single" w:color="auto" w:sz="8" w:space="0"/>
              <w:right w:val="single" w:color="auto" w:sz="4" w:space="0"/>
            </w:tcBorders>
            <w:vAlign w:val="center"/>
          </w:tcPr>
          <w:p w14:paraId="2AC0C746">
            <w:pPr>
              <w:autoSpaceDE w:val="0"/>
              <w:autoSpaceDN w:val="0"/>
              <w:spacing w:line="360" w:lineRule="auto"/>
              <w:jc w:val="center"/>
              <w:rPr>
                <w:rFonts w:ascii="宋体" w:hAnsi="宋体"/>
                <w:szCs w:val="21"/>
                <w:lang w:val="hr-HR"/>
              </w:rPr>
            </w:pPr>
          </w:p>
        </w:tc>
        <w:tc>
          <w:tcPr>
            <w:tcW w:w="1080" w:type="dxa"/>
            <w:tcBorders>
              <w:left w:val="single" w:color="auto" w:sz="4" w:space="0"/>
              <w:bottom w:val="nil"/>
              <w:right w:val="single" w:color="auto" w:sz="8" w:space="0"/>
            </w:tcBorders>
            <w:vAlign w:val="center"/>
          </w:tcPr>
          <w:p w14:paraId="7B860175">
            <w:pPr>
              <w:spacing w:line="360" w:lineRule="auto"/>
              <w:jc w:val="center"/>
              <w:rPr>
                <w:rFonts w:ascii="宋体" w:hAnsi="宋体"/>
                <w:szCs w:val="21"/>
              </w:rPr>
            </w:pPr>
          </w:p>
        </w:tc>
        <w:tc>
          <w:tcPr>
            <w:tcW w:w="900" w:type="dxa"/>
            <w:tcBorders>
              <w:left w:val="single" w:color="auto" w:sz="4" w:space="0"/>
              <w:bottom w:val="nil"/>
              <w:right w:val="single" w:color="auto" w:sz="8" w:space="0"/>
            </w:tcBorders>
            <w:vAlign w:val="center"/>
          </w:tcPr>
          <w:p w14:paraId="63CA0C52">
            <w:pPr>
              <w:spacing w:line="360" w:lineRule="auto"/>
              <w:ind w:left="-92" w:leftChars="-44"/>
              <w:jc w:val="center"/>
              <w:rPr>
                <w:rFonts w:ascii="宋体" w:hAnsi="宋体"/>
                <w:szCs w:val="21"/>
              </w:rPr>
            </w:pPr>
          </w:p>
        </w:tc>
      </w:tr>
      <w:tr w14:paraId="1965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09" w:type="dxa"/>
            <w:tcBorders>
              <w:left w:val="single" w:color="auto" w:sz="8" w:space="0"/>
              <w:right w:val="single" w:color="auto" w:sz="4" w:space="0"/>
            </w:tcBorders>
            <w:vAlign w:val="center"/>
          </w:tcPr>
          <w:p w14:paraId="5640AE5D">
            <w:pPr>
              <w:spacing w:line="360" w:lineRule="auto"/>
              <w:jc w:val="center"/>
              <w:rPr>
                <w:rFonts w:ascii="宋体" w:hAnsi="宋体"/>
                <w:szCs w:val="21"/>
              </w:rPr>
            </w:pPr>
          </w:p>
        </w:tc>
        <w:tc>
          <w:tcPr>
            <w:tcW w:w="1276" w:type="dxa"/>
            <w:tcBorders>
              <w:left w:val="single" w:color="auto" w:sz="8" w:space="0"/>
              <w:right w:val="single" w:color="auto" w:sz="4" w:space="0"/>
            </w:tcBorders>
            <w:vAlign w:val="center"/>
          </w:tcPr>
          <w:p w14:paraId="529E649B">
            <w:pPr>
              <w:autoSpaceDE w:val="0"/>
              <w:autoSpaceDN w:val="0"/>
              <w:spacing w:line="360" w:lineRule="auto"/>
              <w:jc w:val="center"/>
              <w:rPr>
                <w:rFonts w:ascii="宋体" w:hAnsi="宋体"/>
                <w:bCs/>
                <w:szCs w:val="21"/>
              </w:rPr>
            </w:pPr>
          </w:p>
        </w:tc>
        <w:tc>
          <w:tcPr>
            <w:tcW w:w="3415" w:type="dxa"/>
            <w:tcBorders>
              <w:left w:val="single" w:color="auto" w:sz="4" w:space="0"/>
              <w:right w:val="single" w:color="auto" w:sz="4" w:space="0"/>
            </w:tcBorders>
            <w:vAlign w:val="center"/>
          </w:tcPr>
          <w:p w14:paraId="423F862E">
            <w:pPr>
              <w:spacing w:line="360" w:lineRule="auto"/>
              <w:jc w:val="center"/>
              <w:rPr>
                <w:rFonts w:ascii="宋体" w:hAnsi="宋体"/>
                <w:szCs w:val="21"/>
              </w:rPr>
            </w:pPr>
          </w:p>
        </w:tc>
        <w:tc>
          <w:tcPr>
            <w:tcW w:w="900" w:type="dxa"/>
            <w:tcBorders>
              <w:left w:val="single" w:color="auto" w:sz="4" w:space="0"/>
              <w:bottom w:val="single" w:color="auto" w:sz="8" w:space="0"/>
              <w:right w:val="single" w:color="auto" w:sz="4" w:space="0"/>
            </w:tcBorders>
            <w:vAlign w:val="center"/>
          </w:tcPr>
          <w:p w14:paraId="3868341B">
            <w:pPr>
              <w:spacing w:line="360" w:lineRule="auto"/>
              <w:rPr>
                <w:rFonts w:ascii="宋体" w:hAnsi="宋体"/>
                <w:szCs w:val="21"/>
              </w:rPr>
            </w:pPr>
          </w:p>
        </w:tc>
        <w:tc>
          <w:tcPr>
            <w:tcW w:w="900" w:type="dxa"/>
            <w:tcBorders>
              <w:left w:val="single" w:color="auto" w:sz="4" w:space="0"/>
              <w:bottom w:val="single" w:color="auto" w:sz="8" w:space="0"/>
              <w:right w:val="single" w:color="auto" w:sz="4" w:space="0"/>
            </w:tcBorders>
            <w:vAlign w:val="center"/>
          </w:tcPr>
          <w:p w14:paraId="336FE23C">
            <w:pPr>
              <w:autoSpaceDE w:val="0"/>
              <w:autoSpaceDN w:val="0"/>
              <w:spacing w:line="360" w:lineRule="auto"/>
              <w:jc w:val="center"/>
              <w:rPr>
                <w:rFonts w:ascii="宋体" w:hAnsi="宋体"/>
                <w:szCs w:val="21"/>
                <w:lang w:val="hr-HR"/>
              </w:rPr>
            </w:pPr>
          </w:p>
        </w:tc>
        <w:tc>
          <w:tcPr>
            <w:tcW w:w="1080" w:type="dxa"/>
            <w:tcBorders>
              <w:left w:val="single" w:color="auto" w:sz="4" w:space="0"/>
              <w:bottom w:val="nil"/>
              <w:right w:val="single" w:color="auto" w:sz="8" w:space="0"/>
            </w:tcBorders>
            <w:vAlign w:val="center"/>
          </w:tcPr>
          <w:p w14:paraId="34F40816">
            <w:pPr>
              <w:spacing w:line="360" w:lineRule="auto"/>
              <w:jc w:val="center"/>
              <w:rPr>
                <w:rFonts w:ascii="宋体" w:hAnsi="宋体"/>
                <w:szCs w:val="21"/>
              </w:rPr>
            </w:pPr>
          </w:p>
        </w:tc>
        <w:tc>
          <w:tcPr>
            <w:tcW w:w="900" w:type="dxa"/>
            <w:tcBorders>
              <w:left w:val="single" w:color="auto" w:sz="4" w:space="0"/>
              <w:bottom w:val="nil"/>
              <w:right w:val="single" w:color="auto" w:sz="8" w:space="0"/>
            </w:tcBorders>
            <w:vAlign w:val="center"/>
          </w:tcPr>
          <w:p w14:paraId="4F9B21C9">
            <w:pPr>
              <w:spacing w:line="360" w:lineRule="auto"/>
              <w:ind w:left="-92" w:leftChars="-44"/>
              <w:jc w:val="center"/>
              <w:rPr>
                <w:rFonts w:ascii="宋体" w:hAnsi="宋体"/>
                <w:szCs w:val="21"/>
              </w:rPr>
            </w:pPr>
          </w:p>
        </w:tc>
      </w:tr>
      <w:tr w14:paraId="300D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80" w:type="dxa"/>
            <w:gridSpan w:val="7"/>
            <w:tcBorders>
              <w:left w:val="single" w:color="auto" w:sz="8" w:space="0"/>
              <w:right w:val="single" w:color="auto" w:sz="8" w:space="0"/>
            </w:tcBorders>
            <w:vAlign w:val="center"/>
          </w:tcPr>
          <w:p w14:paraId="12CA91F5">
            <w:pPr>
              <w:spacing w:line="360" w:lineRule="auto"/>
              <w:rPr>
                <w:rFonts w:ascii="宋体" w:hAnsi="宋体"/>
                <w:szCs w:val="21"/>
              </w:rPr>
            </w:pPr>
            <w:r>
              <w:rPr>
                <w:rFonts w:ascii="宋体" w:hAnsi="宋体"/>
                <w:szCs w:val="21"/>
              </w:rPr>
              <w:t xml:space="preserve">  </w:t>
            </w:r>
            <w:r>
              <w:rPr>
                <w:rFonts w:hint="eastAsia" w:ascii="宋体" w:hAnsi="宋体"/>
                <w:szCs w:val="21"/>
              </w:rPr>
              <w:t>合计总额：￥</w:t>
            </w:r>
            <w:r>
              <w:rPr>
                <w:rFonts w:hint="eastAsia" w:hAnsi="宋体"/>
                <w:szCs w:val="21"/>
                <w:u w:val="single"/>
              </w:rPr>
              <w:t xml:space="preserve">        </w:t>
            </w:r>
            <w:r>
              <w:rPr>
                <w:rFonts w:hint="eastAsia" w:ascii="宋体" w:hAnsi="宋体"/>
                <w:szCs w:val="21"/>
              </w:rPr>
              <w:t>元；    大写：</w:t>
            </w:r>
            <w:r>
              <w:rPr>
                <w:rFonts w:hint="eastAsia" w:hAnsi="宋体"/>
                <w:szCs w:val="21"/>
                <w:u w:val="single"/>
              </w:rPr>
              <w:t xml:space="preserve">               </w:t>
            </w:r>
            <w:r>
              <w:rPr>
                <w:rFonts w:hint="eastAsia" w:ascii="宋体" w:hAnsi="宋体"/>
                <w:szCs w:val="21"/>
              </w:rPr>
              <w:t xml:space="preserve">         </w:t>
            </w:r>
          </w:p>
        </w:tc>
      </w:tr>
    </w:tbl>
    <w:p w14:paraId="70FCD415">
      <w:pPr>
        <w:spacing w:line="360" w:lineRule="auto"/>
        <w:ind w:firstLine="420" w:firstLineChars="200"/>
        <w:rPr>
          <w:rFonts w:ascii="宋体" w:hAnsi="宋体"/>
          <w:szCs w:val="21"/>
        </w:rPr>
      </w:pPr>
      <w:r>
        <w:rPr>
          <w:rFonts w:hint="eastAsia" w:ascii="宋体" w:hAnsi="宋体"/>
          <w:szCs w:val="21"/>
        </w:rPr>
        <w:t>合同总额为含税总包干价，</w:t>
      </w:r>
      <w:r>
        <w:rPr>
          <w:rFonts w:hint="eastAsia" w:ascii="宋体" w:hAnsi="宋体" w:cs="宋体"/>
          <w:szCs w:val="21"/>
          <w:lang w:val="zh-CN"/>
        </w:rPr>
        <w:t>包括采购清单中所有货物的价款、运输费、装卸费（卸至用户指定地点）、保险费用、气瓶使用费、气瓶保养费、气瓶检测费（含首次检测费）、税费以及售后服务费等一切费用</w:t>
      </w:r>
      <w:r>
        <w:rPr>
          <w:rFonts w:hint="eastAsia" w:ascii="宋体" w:hAnsi="宋体"/>
          <w:szCs w:val="21"/>
        </w:rPr>
        <w:t>。</w:t>
      </w:r>
    </w:p>
    <w:p w14:paraId="08ABF72C">
      <w:pPr>
        <w:spacing w:line="360" w:lineRule="auto"/>
        <w:ind w:firstLine="420" w:firstLineChars="200"/>
        <w:rPr>
          <w:rFonts w:ascii="宋体" w:hAnsi="宋体"/>
          <w:szCs w:val="21"/>
        </w:rPr>
      </w:pPr>
      <w:r>
        <w:rPr>
          <w:rFonts w:hint="eastAsia" w:ascii="宋体" w:hAnsi="宋体"/>
          <w:szCs w:val="21"/>
        </w:rPr>
        <w:t>注：货物名称内容必须与响应文件中货物名称内容一致，详细要求见附件。</w:t>
      </w:r>
    </w:p>
    <w:p w14:paraId="4CC3AD1F">
      <w:pPr>
        <w:spacing w:line="360" w:lineRule="auto"/>
        <w:rPr>
          <w:rFonts w:ascii="宋体" w:hAnsi="宋体"/>
          <w:b/>
          <w:szCs w:val="21"/>
        </w:rPr>
      </w:pPr>
      <w:r>
        <w:rPr>
          <w:rFonts w:hint="eastAsia" w:ascii="宋体" w:hAnsi="宋体"/>
          <w:b/>
          <w:szCs w:val="21"/>
        </w:rPr>
        <w:t>二、合同金额</w:t>
      </w:r>
    </w:p>
    <w:p w14:paraId="57B058B5">
      <w:pPr>
        <w:pStyle w:val="11"/>
        <w:spacing w:line="360" w:lineRule="auto"/>
        <w:ind w:firstLine="420" w:firstLineChars="200"/>
        <w:rPr>
          <w:rFonts w:hAnsi="宋体"/>
          <w:szCs w:val="21"/>
        </w:rPr>
      </w:pPr>
      <w:r>
        <w:rPr>
          <w:rFonts w:hint="eastAsia" w:hAnsi="宋体"/>
          <w:szCs w:val="21"/>
        </w:rPr>
        <w:t>合同金额为人民币（大写）：</w:t>
      </w:r>
      <w:r>
        <w:rPr>
          <w:rFonts w:hint="eastAsia" w:hAnsi="宋体"/>
          <w:szCs w:val="21"/>
          <w:u w:val="single"/>
        </w:rPr>
        <w:t xml:space="preserve">               </w:t>
      </w:r>
      <w:r>
        <w:rPr>
          <w:rFonts w:hAnsi="宋体"/>
          <w:szCs w:val="21"/>
        </w:rPr>
        <w:t>_</w:t>
      </w:r>
      <w:r>
        <w:rPr>
          <w:rFonts w:hint="eastAsia" w:hAnsi="宋体"/>
          <w:szCs w:val="21"/>
        </w:rPr>
        <w:t>元（￥</w:t>
      </w:r>
      <w:r>
        <w:rPr>
          <w:rFonts w:hint="eastAsia" w:hAnsi="宋体"/>
          <w:szCs w:val="21"/>
          <w:u w:val="single"/>
        </w:rPr>
        <w:t xml:space="preserve">          </w:t>
      </w:r>
      <w:r>
        <w:rPr>
          <w:rFonts w:hAnsi="宋体"/>
          <w:szCs w:val="21"/>
        </w:rPr>
        <w:t>_</w:t>
      </w:r>
      <w:r>
        <w:rPr>
          <w:rFonts w:hint="eastAsia" w:hAnsi="宋体"/>
          <w:szCs w:val="21"/>
        </w:rPr>
        <w:t>元）。</w:t>
      </w:r>
    </w:p>
    <w:p w14:paraId="30CB4E0F">
      <w:pPr>
        <w:spacing w:line="360" w:lineRule="auto"/>
        <w:rPr>
          <w:rFonts w:ascii="宋体" w:hAnsi="宋体"/>
          <w:b/>
          <w:szCs w:val="21"/>
        </w:rPr>
      </w:pPr>
      <w:r>
        <w:rPr>
          <w:rFonts w:hint="eastAsia" w:ascii="宋体" w:hAnsi="宋体"/>
          <w:b/>
          <w:szCs w:val="21"/>
        </w:rPr>
        <w:t>三、质量要求</w:t>
      </w:r>
    </w:p>
    <w:p w14:paraId="090F7415">
      <w:pPr>
        <w:pStyle w:val="11"/>
        <w:adjustRightInd w:val="0"/>
        <w:spacing w:line="360" w:lineRule="auto"/>
        <w:rPr>
          <w:rFonts w:hAnsi="宋体" w:cs="宋体"/>
          <w:szCs w:val="21"/>
        </w:rPr>
      </w:pPr>
      <w:r>
        <w:rPr>
          <w:rFonts w:hint="eastAsia" w:hAnsi="宋体" w:cs="宋体"/>
          <w:szCs w:val="21"/>
        </w:rPr>
        <w:t>（按照采购需求要求的付款方式）</w:t>
      </w:r>
    </w:p>
    <w:p w14:paraId="0F2BADE1">
      <w:pPr>
        <w:pStyle w:val="11"/>
        <w:adjustRightInd w:val="0"/>
        <w:spacing w:line="360" w:lineRule="auto"/>
        <w:rPr>
          <w:rFonts w:hAnsi="宋体"/>
          <w:b/>
          <w:szCs w:val="21"/>
        </w:rPr>
      </w:pPr>
      <w:r>
        <w:rPr>
          <w:rFonts w:hint="eastAsia" w:hAnsi="宋体"/>
          <w:b/>
          <w:szCs w:val="21"/>
        </w:rPr>
        <w:t>四. 包装、保险及发运、保管要求：</w:t>
      </w:r>
    </w:p>
    <w:p w14:paraId="21A17E6C">
      <w:pPr>
        <w:pStyle w:val="11"/>
        <w:adjustRightInd w:val="0"/>
        <w:spacing w:line="360" w:lineRule="auto"/>
        <w:rPr>
          <w:rFonts w:hAnsi="宋体"/>
          <w:b/>
          <w:szCs w:val="21"/>
          <w:lang w:val="zh-CN"/>
        </w:rPr>
      </w:pPr>
      <w:r>
        <w:rPr>
          <w:rFonts w:hint="eastAsia" w:hAnsi="宋体" w:cs="宋体"/>
          <w:szCs w:val="21"/>
        </w:rPr>
        <w:t>（按照采购需求要求的付款方式）</w:t>
      </w:r>
      <w:r>
        <w:rPr>
          <w:rFonts w:hint="eastAsia" w:hAnsi="宋体"/>
          <w:szCs w:val="21"/>
          <w:lang w:val="zh-CN"/>
        </w:rPr>
        <w:t>。</w:t>
      </w:r>
    </w:p>
    <w:p w14:paraId="05FD268F">
      <w:pPr>
        <w:spacing w:line="360" w:lineRule="auto"/>
        <w:rPr>
          <w:rFonts w:ascii="宋体" w:hAnsi="宋体"/>
          <w:b/>
          <w:szCs w:val="21"/>
        </w:rPr>
      </w:pPr>
      <w:r>
        <w:rPr>
          <w:rFonts w:hint="eastAsia" w:ascii="宋体" w:hAnsi="宋体"/>
          <w:b/>
          <w:szCs w:val="21"/>
        </w:rPr>
        <w:t>五、交货期、交货方式及交货地点</w:t>
      </w:r>
    </w:p>
    <w:p w14:paraId="21FDE804">
      <w:pPr>
        <w:spacing w:line="360" w:lineRule="auto"/>
        <w:rPr>
          <w:rFonts w:ascii="宋体" w:hAnsi="宋体"/>
          <w:szCs w:val="21"/>
        </w:rPr>
      </w:pPr>
      <w:r>
        <w:rPr>
          <w:rFonts w:hint="eastAsia" w:ascii="宋体" w:hAnsi="宋体"/>
          <w:szCs w:val="21"/>
        </w:rPr>
        <w:t>1、交货期：</w:t>
      </w:r>
    </w:p>
    <w:p w14:paraId="2563290B">
      <w:pPr>
        <w:spacing w:line="360" w:lineRule="auto"/>
        <w:rPr>
          <w:rFonts w:ascii="宋体" w:hAnsi="宋体"/>
          <w:szCs w:val="21"/>
        </w:rPr>
      </w:pPr>
      <w:r>
        <w:rPr>
          <w:rFonts w:hint="eastAsia" w:ascii="宋体" w:hAnsi="宋体"/>
          <w:szCs w:val="21"/>
        </w:rPr>
        <w:t>2、交货方式：一次性交货，交货且经甲方验收前的一切风险均由乙方承担</w:t>
      </w:r>
    </w:p>
    <w:p w14:paraId="40962AB4">
      <w:pPr>
        <w:spacing w:line="360" w:lineRule="auto"/>
        <w:rPr>
          <w:rFonts w:ascii="宋体" w:hAnsi="宋体"/>
          <w:szCs w:val="21"/>
        </w:rPr>
      </w:pPr>
      <w:r>
        <w:rPr>
          <w:rFonts w:hint="eastAsia" w:ascii="宋体" w:hAnsi="宋体"/>
          <w:szCs w:val="21"/>
        </w:rPr>
        <w:t>3、交货地点：广州市白云区石井石潭西路88号</w:t>
      </w:r>
    </w:p>
    <w:p w14:paraId="475FA005">
      <w:pPr>
        <w:spacing w:line="360" w:lineRule="auto"/>
        <w:rPr>
          <w:rFonts w:ascii="宋体" w:hAnsi="宋体"/>
          <w:b/>
          <w:szCs w:val="21"/>
        </w:rPr>
      </w:pPr>
      <w:r>
        <w:rPr>
          <w:rFonts w:hint="eastAsia" w:ascii="宋体" w:hAnsi="宋体"/>
          <w:b/>
          <w:szCs w:val="21"/>
        </w:rPr>
        <w:t>六、付款方式</w:t>
      </w:r>
    </w:p>
    <w:p w14:paraId="64F5ABC9">
      <w:pPr>
        <w:spacing w:line="360" w:lineRule="auto"/>
        <w:ind w:firstLine="411" w:firstLineChars="196"/>
        <w:rPr>
          <w:rFonts w:ascii="宋体" w:hAnsi="宋体" w:cs="宋体"/>
          <w:szCs w:val="21"/>
        </w:rPr>
      </w:pPr>
      <w:r>
        <w:rPr>
          <w:rFonts w:hint="eastAsia" w:ascii="宋体" w:hAnsi="宋体" w:cs="宋体"/>
          <w:szCs w:val="21"/>
        </w:rPr>
        <w:t>付款时间及条件：（按照采购需求要求的付款方式）</w:t>
      </w:r>
    </w:p>
    <w:p w14:paraId="2B44EAB3">
      <w:pPr>
        <w:spacing w:line="360" w:lineRule="auto"/>
        <w:ind w:firstLine="411" w:firstLineChars="196"/>
        <w:rPr>
          <w:rFonts w:ascii="宋体" w:hAnsi="宋体" w:cs="宋体"/>
          <w:szCs w:val="21"/>
        </w:rPr>
      </w:pPr>
      <w:r>
        <w:rPr>
          <w:rFonts w:hint="eastAsia" w:ascii="宋体" w:hAnsi="宋体" w:cs="宋体"/>
          <w:szCs w:val="21"/>
        </w:rPr>
        <w:t>付款方式：</w:t>
      </w:r>
    </w:p>
    <w:p w14:paraId="60B91CEA">
      <w:pPr>
        <w:spacing w:line="360" w:lineRule="auto"/>
        <w:rPr>
          <w:rFonts w:ascii="宋体" w:hAnsi="宋体"/>
          <w:b/>
          <w:szCs w:val="21"/>
        </w:rPr>
      </w:pPr>
      <w:r>
        <w:rPr>
          <w:rFonts w:hint="eastAsia" w:ascii="宋体" w:hAnsi="宋体"/>
          <w:b/>
          <w:szCs w:val="21"/>
        </w:rPr>
        <w:t>七、质保期及售后服务要求（费用包含在报价内）</w:t>
      </w:r>
    </w:p>
    <w:p w14:paraId="03366B78">
      <w:pPr>
        <w:numPr>
          <w:ilvl w:val="0"/>
          <w:numId w:val="4"/>
        </w:numPr>
        <w:spacing w:line="360" w:lineRule="auto"/>
        <w:rPr>
          <w:rFonts w:hAnsi="宋体"/>
          <w:kern w:val="0"/>
          <w:szCs w:val="21"/>
        </w:rPr>
      </w:pPr>
      <w:r>
        <w:rPr>
          <w:rFonts w:hint="eastAsia" w:ascii="宋体" w:hAnsi="宋体"/>
          <w:szCs w:val="21"/>
        </w:rPr>
        <w:t>货物提供</w:t>
      </w:r>
      <w:r>
        <w:rPr>
          <w:rFonts w:hint="eastAsia" w:ascii="宋体" w:hAnsi="宋体"/>
          <w:szCs w:val="21"/>
          <w:u w:val="single"/>
        </w:rPr>
        <w:t xml:space="preserve">   </w:t>
      </w:r>
      <w:r>
        <w:rPr>
          <w:rFonts w:hint="eastAsia" w:ascii="宋体" w:hAnsi="宋体"/>
          <w:szCs w:val="21"/>
        </w:rPr>
        <w:t>年质保期（若厂家承诺提供质保期长于</w:t>
      </w:r>
      <w:r>
        <w:rPr>
          <w:rFonts w:hint="eastAsia" w:ascii="宋体" w:hAnsi="宋体"/>
          <w:szCs w:val="21"/>
          <w:u w:val="single"/>
        </w:rPr>
        <w:t xml:space="preserve">  </w:t>
      </w:r>
      <w:r>
        <w:rPr>
          <w:rFonts w:hint="eastAsia" w:ascii="宋体" w:hAnsi="宋体"/>
          <w:szCs w:val="21"/>
        </w:rPr>
        <w:t>年，则按厂家承诺提供质保期限）</w:t>
      </w:r>
    </w:p>
    <w:p w14:paraId="065A2A97">
      <w:pPr>
        <w:numPr>
          <w:ilvl w:val="0"/>
          <w:numId w:val="4"/>
        </w:numPr>
        <w:spacing w:line="360" w:lineRule="auto"/>
        <w:rPr>
          <w:rFonts w:hAnsi="宋体"/>
          <w:kern w:val="0"/>
          <w:szCs w:val="21"/>
        </w:rPr>
      </w:pPr>
      <w:r>
        <w:rPr>
          <w:rFonts w:hint="eastAsia" w:hAnsi="宋体"/>
          <w:kern w:val="0"/>
          <w:szCs w:val="21"/>
        </w:rPr>
        <w:t>质保期内乙方负责所有因货物质量问题而产生的费用，所有服务。</w:t>
      </w:r>
    </w:p>
    <w:p w14:paraId="23DCD07D">
      <w:pPr>
        <w:numPr>
          <w:ilvl w:val="0"/>
          <w:numId w:val="4"/>
        </w:numPr>
        <w:spacing w:line="360" w:lineRule="auto"/>
        <w:rPr>
          <w:rFonts w:hAnsi="宋体"/>
          <w:kern w:val="0"/>
          <w:szCs w:val="21"/>
        </w:rPr>
      </w:pPr>
      <w:r>
        <w:rPr>
          <w:rFonts w:hint="eastAsia" w:hAnsi="宋体"/>
          <w:kern w:val="0"/>
          <w:szCs w:val="21"/>
        </w:rPr>
        <w:t>因货物的质量问题而发生争议，由广东省或广州市质检部门进行质量鉴定。货物符合质量标准的，鉴定费用由甲方承担；设备不符合质量标准的，鉴定费用由乙方承担。</w:t>
      </w:r>
    </w:p>
    <w:p w14:paraId="463AC5A4">
      <w:pPr>
        <w:numPr>
          <w:ilvl w:val="0"/>
          <w:numId w:val="4"/>
        </w:numPr>
        <w:spacing w:line="360" w:lineRule="auto"/>
        <w:rPr>
          <w:rFonts w:hAnsi="宋体"/>
          <w:kern w:val="0"/>
          <w:szCs w:val="21"/>
        </w:rPr>
      </w:pPr>
      <w:r>
        <w:rPr>
          <w:rFonts w:hint="eastAsia" w:hAnsi="宋体"/>
          <w:kern w:val="0"/>
          <w:szCs w:val="21"/>
        </w:rPr>
        <w:t>其它售后服务要求按照本项目《采购需求》。</w:t>
      </w:r>
    </w:p>
    <w:p w14:paraId="1334AFD3">
      <w:pPr>
        <w:tabs>
          <w:tab w:val="left" w:pos="900"/>
        </w:tabs>
        <w:spacing w:line="360" w:lineRule="auto"/>
        <w:rPr>
          <w:rFonts w:ascii="宋体" w:hAnsi="宋体"/>
          <w:b/>
          <w:szCs w:val="21"/>
        </w:rPr>
      </w:pPr>
      <w:r>
        <w:rPr>
          <w:rFonts w:hint="eastAsia" w:ascii="宋体" w:hAnsi="宋体"/>
          <w:b/>
          <w:szCs w:val="21"/>
        </w:rPr>
        <w:t>八、</w:t>
      </w:r>
      <w:r>
        <w:rPr>
          <w:rFonts w:hint="eastAsia" w:ascii="宋体" w:hAnsi="宋体"/>
          <w:b/>
          <w:bCs/>
          <w:szCs w:val="21"/>
        </w:rPr>
        <w:t>验收</w:t>
      </w:r>
    </w:p>
    <w:p w14:paraId="0B9A7AF8">
      <w:pPr>
        <w:tabs>
          <w:tab w:val="left" w:pos="360"/>
        </w:tabs>
        <w:spacing w:line="360" w:lineRule="auto"/>
        <w:rPr>
          <w:rFonts w:ascii="宋体" w:hAnsi="宋体"/>
          <w:szCs w:val="21"/>
        </w:rPr>
      </w:pPr>
      <w:r>
        <w:rPr>
          <w:rFonts w:hint="eastAsia" w:ascii="宋体" w:hAnsi="宋体"/>
          <w:szCs w:val="21"/>
        </w:rPr>
        <w:t>1、验收的标准按照国内、国际最新相关标准实施。</w:t>
      </w:r>
    </w:p>
    <w:p w14:paraId="0D57E08F">
      <w:pPr>
        <w:tabs>
          <w:tab w:val="left" w:pos="360"/>
        </w:tabs>
        <w:spacing w:line="360" w:lineRule="auto"/>
        <w:rPr>
          <w:rFonts w:ascii="宋体" w:hAnsi="宋体"/>
          <w:szCs w:val="21"/>
        </w:rPr>
      </w:pPr>
      <w:r>
        <w:rPr>
          <w:rFonts w:hint="eastAsia" w:ascii="宋体" w:hAnsi="宋体"/>
          <w:szCs w:val="21"/>
        </w:rPr>
        <w:t>2、验收内容由乙方给出具体的验收计划、测试的内容和方法，并得到甲方的认可，方可进行验收测试。</w:t>
      </w:r>
    </w:p>
    <w:p w14:paraId="5B6D862E">
      <w:pPr>
        <w:tabs>
          <w:tab w:val="left" w:pos="360"/>
        </w:tabs>
        <w:spacing w:line="360" w:lineRule="auto"/>
        <w:rPr>
          <w:rFonts w:ascii="宋体" w:hAnsi="宋体"/>
          <w:szCs w:val="21"/>
        </w:rPr>
      </w:pPr>
      <w:r>
        <w:rPr>
          <w:rFonts w:hint="eastAsia" w:ascii="宋体" w:hAnsi="宋体"/>
          <w:szCs w:val="21"/>
        </w:rPr>
        <w:t>3、验收测试的过程和结果必须详细记录，测试中如发现货物参数上不符合竞价文件和合同要求时，将被看作不合格，甲方有权拒收并要求赔偿。</w:t>
      </w:r>
    </w:p>
    <w:p w14:paraId="0F176620">
      <w:pPr>
        <w:tabs>
          <w:tab w:val="left" w:pos="360"/>
        </w:tabs>
        <w:spacing w:line="360" w:lineRule="auto"/>
        <w:rPr>
          <w:rFonts w:ascii="宋体" w:hAnsi="宋体"/>
          <w:szCs w:val="21"/>
        </w:rPr>
      </w:pPr>
      <w:r>
        <w:rPr>
          <w:rFonts w:hint="eastAsia" w:ascii="宋体" w:hAnsi="宋体"/>
          <w:szCs w:val="21"/>
        </w:rPr>
        <w:t>4、其它验收要求按照本项目《</w:t>
      </w:r>
      <w:r>
        <w:rPr>
          <w:rFonts w:hint="eastAsia" w:hAnsi="宋体"/>
          <w:kern w:val="0"/>
          <w:szCs w:val="21"/>
        </w:rPr>
        <w:t>采购需求</w:t>
      </w:r>
      <w:r>
        <w:rPr>
          <w:rFonts w:hint="eastAsia" w:ascii="宋体" w:hAnsi="宋体"/>
          <w:szCs w:val="21"/>
        </w:rPr>
        <w:t>》。</w:t>
      </w:r>
    </w:p>
    <w:p w14:paraId="2D4BC487">
      <w:pPr>
        <w:tabs>
          <w:tab w:val="left" w:pos="900"/>
        </w:tabs>
        <w:spacing w:line="360" w:lineRule="auto"/>
        <w:rPr>
          <w:rFonts w:ascii="宋体" w:hAnsi="宋体"/>
          <w:b/>
          <w:szCs w:val="21"/>
        </w:rPr>
      </w:pPr>
      <w:r>
        <w:rPr>
          <w:rFonts w:hint="eastAsia" w:ascii="宋体" w:hAnsi="宋体"/>
          <w:b/>
          <w:bCs/>
          <w:szCs w:val="21"/>
        </w:rPr>
        <w:t>九、</w:t>
      </w:r>
      <w:r>
        <w:rPr>
          <w:rFonts w:hint="eastAsia" w:ascii="宋体" w:hAnsi="宋体"/>
          <w:b/>
          <w:szCs w:val="21"/>
        </w:rPr>
        <w:t>违约责任与赔偿损失</w:t>
      </w:r>
    </w:p>
    <w:p w14:paraId="0D43A421">
      <w:pPr>
        <w:numPr>
          <w:ilvl w:val="1"/>
          <w:numId w:val="5"/>
        </w:numPr>
        <w:spacing w:line="360" w:lineRule="auto"/>
        <w:ind w:left="424" w:hanging="424" w:hangingChars="202"/>
        <w:rPr>
          <w:rFonts w:ascii="宋体" w:hAnsi="宋体" w:cs="宋体"/>
          <w:szCs w:val="21"/>
        </w:rPr>
      </w:pPr>
      <w:r>
        <w:rPr>
          <w:rFonts w:hint="eastAsia" w:ascii="宋体" w:hAnsi="宋体" w:cs="宋体"/>
          <w:szCs w:val="21"/>
        </w:rPr>
        <w:t>乙方按合同清单上的货物运达指定地点后，甲方应严格按照竞价文件要求在双方约定的时间内进行验收，甲方无正当理由不得无故拖延验收时间。</w:t>
      </w:r>
    </w:p>
    <w:p w14:paraId="40BB7DDA">
      <w:pPr>
        <w:numPr>
          <w:ilvl w:val="1"/>
          <w:numId w:val="5"/>
        </w:numPr>
        <w:spacing w:line="360" w:lineRule="auto"/>
        <w:ind w:left="424" w:hanging="424" w:hangingChars="202"/>
        <w:rPr>
          <w:rFonts w:ascii="宋体" w:hAnsi="宋体" w:cs="宋体"/>
          <w:szCs w:val="21"/>
        </w:rPr>
      </w:pPr>
      <w:r>
        <w:rPr>
          <w:rFonts w:hint="eastAsia" w:ascii="宋体" w:hAnsi="宋体" w:cs="宋体"/>
          <w:szCs w:val="21"/>
        </w:rPr>
        <w:t>乙方所交货物不符合采购要求的，甲方有权拒收并要求乙方换货；换货后仍不符合采购需求的，乙方须向甲方支付货款20%的违约金，且甲方有权解除合同。</w:t>
      </w:r>
    </w:p>
    <w:p w14:paraId="293E2D13">
      <w:pPr>
        <w:numPr>
          <w:ilvl w:val="1"/>
          <w:numId w:val="5"/>
        </w:numPr>
        <w:spacing w:line="360" w:lineRule="auto"/>
        <w:ind w:left="424" w:hanging="424" w:hangingChars="202"/>
        <w:rPr>
          <w:rFonts w:ascii="宋体" w:hAnsi="宋体" w:cs="宋体"/>
          <w:szCs w:val="21"/>
        </w:rPr>
      </w:pPr>
      <w:r>
        <w:rPr>
          <w:rFonts w:hint="eastAsia" w:ascii="宋体" w:hAnsi="宋体" w:cs="宋体"/>
          <w:szCs w:val="21"/>
        </w:rPr>
        <w:t>乙方不能按时交付货物的，应向甲方每日偿付货款5‰的违约金，逾期超过15日的，甲方有权单方解除本合同。</w:t>
      </w:r>
    </w:p>
    <w:p w14:paraId="2A1DAFA6">
      <w:pPr>
        <w:numPr>
          <w:ilvl w:val="1"/>
          <w:numId w:val="5"/>
        </w:numPr>
        <w:spacing w:line="360" w:lineRule="auto"/>
        <w:ind w:left="424" w:hanging="424" w:hangingChars="202"/>
        <w:rPr>
          <w:rFonts w:ascii="宋体" w:hAnsi="宋体" w:cs="宋体"/>
          <w:szCs w:val="21"/>
        </w:rPr>
      </w:pPr>
      <w:r>
        <w:rPr>
          <w:rFonts w:hint="eastAsia" w:ascii="宋体" w:hAnsi="宋体" w:cs="宋体"/>
          <w:szCs w:val="21"/>
        </w:rPr>
        <w:t>乙方未经甲方同意单方面终止合同的，乙方除了应向甲方赔偿因合同终止导致的损失外，还应向甲方偿付该合同款总额20%的违约金。</w:t>
      </w:r>
    </w:p>
    <w:p w14:paraId="27EA1C82">
      <w:pPr>
        <w:numPr>
          <w:ilvl w:val="1"/>
          <w:numId w:val="5"/>
        </w:numPr>
        <w:spacing w:line="360" w:lineRule="auto"/>
        <w:ind w:left="424" w:hanging="424" w:hangingChars="202"/>
        <w:rPr>
          <w:rFonts w:ascii="宋体" w:hAnsi="宋体" w:cs="宋体"/>
          <w:szCs w:val="21"/>
        </w:rPr>
      </w:pPr>
      <w:r>
        <w:rPr>
          <w:rFonts w:hint="eastAsia" w:ascii="宋体" w:hAnsi="宋体" w:cs="宋体"/>
          <w:szCs w:val="21"/>
        </w:rPr>
        <w:t>因乙方违约对甲方造成损失的赔偿金及合同约定的违约金均可由甲方从未支付的合同款中扣除。</w:t>
      </w:r>
    </w:p>
    <w:p w14:paraId="282BA2CE">
      <w:pPr>
        <w:spacing w:line="360" w:lineRule="auto"/>
        <w:rPr>
          <w:rFonts w:ascii="宋体" w:hAnsi="宋体"/>
          <w:b/>
          <w:szCs w:val="21"/>
        </w:rPr>
      </w:pPr>
      <w:r>
        <w:rPr>
          <w:rFonts w:hint="eastAsia" w:ascii="宋体" w:hAnsi="宋体"/>
          <w:b/>
          <w:szCs w:val="21"/>
        </w:rPr>
        <w:t>十、争议的解决</w:t>
      </w:r>
    </w:p>
    <w:p w14:paraId="067C1897">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合同执行过程中发生的任何争议，如双方不能通过友好协商解决，任一方可向甲方所在地有管辖权的人民法院提起诉讼解决。</w:t>
      </w:r>
    </w:p>
    <w:p w14:paraId="3EEDD7ED">
      <w:pPr>
        <w:spacing w:line="360" w:lineRule="auto"/>
        <w:rPr>
          <w:rFonts w:ascii="宋体" w:hAnsi="宋体"/>
          <w:b/>
          <w:szCs w:val="21"/>
        </w:rPr>
      </w:pPr>
      <w:r>
        <w:rPr>
          <w:rFonts w:hint="eastAsia" w:ascii="宋体" w:hAnsi="宋体"/>
          <w:b/>
          <w:szCs w:val="21"/>
        </w:rPr>
        <w:t>十一、不可抗力</w:t>
      </w:r>
    </w:p>
    <w:p w14:paraId="04471BB8">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1875C65">
      <w:pPr>
        <w:spacing w:line="360" w:lineRule="auto"/>
        <w:rPr>
          <w:rFonts w:ascii="宋体" w:hAnsi="宋体"/>
          <w:b/>
          <w:szCs w:val="21"/>
        </w:rPr>
      </w:pPr>
      <w:r>
        <w:rPr>
          <w:rFonts w:hint="eastAsia" w:ascii="宋体" w:hAnsi="宋体"/>
          <w:b/>
          <w:szCs w:val="21"/>
        </w:rPr>
        <w:t>十二、税费</w:t>
      </w:r>
    </w:p>
    <w:p w14:paraId="43D72A4D">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14:paraId="7164549A">
      <w:pPr>
        <w:spacing w:line="360" w:lineRule="auto"/>
        <w:rPr>
          <w:rFonts w:ascii="宋体" w:hAnsi="宋体"/>
          <w:b/>
          <w:szCs w:val="21"/>
        </w:rPr>
      </w:pPr>
      <w:r>
        <w:rPr>
          <w:rFonts w:hint="eastAsia" w:ascii="宋体" w:hAnsi="宋体"/>
          <w:b/>
          <w:szCs w:val="21"/>
        </w:rPr>
        <w:t>十三、其它</w:t>
      </w:r>
    </w:p>
    <w:p w14:paraId="47D4563D">
      <w:pPr>
        <w:spacing w:line="360" w:lineRule="auto"/>
        <w:rPr>
          <w:rFonts w:ascii="宋体" w:hAnsi="宋体"/>
          <w:b/>
          <w:szCs w:val="21"/>
        </w:rPr>
      </w:pPr>
      <w:r>
        <w:rPr>
          <w:rFonts w:hint="eastAsia" w:ascii="宋体" w:hAnsi="宋体"/>
          <w:szCs w:val="21"/>
        </w:rPr>
        <w:t>1、 本合同所有附件、竞价文件、响应文件、成交通知书均为合同的有效组成部分，与本合同具有同等法律效力。</w:t>
      </w:r>
    </w:p>
    <w:p w14:paraId="11AF6A77">
      <w:pPr>
        <w:spacing w:line="360" w:lineRule="auto"/>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14:paraId="53F1DF9E">
      <w:pPr>
        <w:spacing w:line="360" w:lineRule="auto"/>
        <w:rPr>
          <w:rFonts w:ascii="宋体" w:hAnsi="宋体"/>
          <w:szCs w:val="21"/>
        </w:rPr>
      </w:pPr>
      <w:r>
        <w:rPr>
          <w:rFonts w:hint="eastAsia" w:ascii="宋体" w:hAnsi="宋体"/>
          <w:szCs w:val="21"/>
        </w:rPr>
        <w:t>3、 如一方地址、电话、传真号码有变更，应在变更当日内书面通知对方，否则，应承担相应责任。</w:t>
      </w:r>
      <w:r>
        <w:rPr>
          <w:rFonts w:ascii="宋体" w:hAnsi="宋体"/>
          <w:szCs w:val="21"/>
        </w:rPr>
        <w:t xml:space="preserve"> </w:t>
      </w:r>
    </w:p>
    <w:p w14:paraId="5E6A8BC7">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14:paraId="61446D7D">
      <w:pPr>
        <w:spacing w:line="360" w:lineRule="auto"/>
        <w:rPr>
          <w:rFonts w:ascii="宋体" w:hAnsi="宋体"/>
          <w:b/>
          <w:szCs w:val="21"/>
        </w:rPr>
      </w:pPr>
      <w:r>
        <w:rPr>
          <w:rFonts w:hint="eastAsia" w:ascii="宋体" w:hAnsi="宋体"/>
          <w:b/>
          <w:szCs w:val="21"/>
        </w:rPr>
        <w:t>十四、合同生效：</w:t>
      </w:r>
    </w:p>
    <w:p w14:paraId="4E67EC2E">
      <w:pPr>
        <w:spacing w:line="360" w:lineRule="auto"/>
        <w:rPr>
          <w:rFonts w:ascii="宋体" w:hAnsi="宋体"/>
          <w:szCs w:val="21"/>
        </w:rPr>
      </w:pPr>
      <w:r>
        <w:rPr>
          <w:rFonts w:hint="eastAsia" w:ascii="宋体" w:hAnsi="宋体"/>
          <w:szCs w:val="21"/>
        </w:rPr>
        <w:t>1、本合同在甲乙双方法人代表或其授权代表签字盖章后生效。</w:t>
      </w:r>
    </w:p>
    <w:p w14:paraId="3ED02AE6">
      <w:pPr>
        <w:spacing w:line="360" w:lineRule="auto"/>
        <w:rPr>
          <w:rFonts w:ascii="宋体" w:hAnsi="宋体"/>
          <w:szCs w:val="21"/>
        </w:rPr>
      </w:pPr>
      <w:r>
        <w:rPr>
          <w:rFonts w:hint="eastAsia" w:ascii="宋体" w:hAnsi="宋体"/>
          <w:szCs w:val="21"/>
        </w:rPr>
        <w:t>2、合同一式</w:t>
      </w:r>
      <w:r>
        <w:rPr>
          <w:rFonts w:hint="eastAsia" w:ascii="宋体" w:hAnsi="宋体"/>
          <w:szCs w:val="21"/>
          <w:u w:val="single"/>
        </w:rPr>
        <w:t xml:space="preserve">     </w:t>
      </w:r>
      <w:r>
        <w:rPr>
          <w:rFonts w:hint="eastAsia" w:ascii="宋体" w:hAnsi="宋体"/>
          <w:szCs w:val="21"/>
        </w:rPr>
        <w:t>份，</w:t>
      </w:r>
      <w:r>
        <w:rPr>
          <w:rFonts w:hint="eastAsia" w:ascii="宋体" w:hAnsi="宋体" w:cs="宋体"/>
          <w:szCs w:val="21"/>
        </w:rPr>
        <w:t>具有同等法律效力，甲方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份，乙方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14:paraId="088181BD">
      <w:pPr>
        <w:spacing w:line="360" w:lineRule="auto"/>
        <w:rPr>
          <w:rFonts w:ascii="宋体" w:hAnsi="宋体" w:cs="宋体"/>
          <w:b/>
          <w:bCs/>
          <w:szCs w:val="21"/>
        </w:rPr>
      </w:pPr>
    </w:p>
    <w:p w14:paraId="7C0504D9">
      <w:pPr>
        <w:spacing w:line="480" w:lineRule="auto"/>
        <w:rPr>
          <w:rFonts w:ascii="宋体" w:hAnsi="宋体"/>
          <w:b/>
          <w:bCs/>
          <w:szCs w:val="21"/>
        </w:rPr>
      </w:pPr>
      <w:r>
        <w:rPr>
          <w:rFonts w:hint="eastAsia" w:ascii="宋体" w:hAnsi="宋体" w:cs="宋体"/>
          <w:b/>
          <w:bCs/>
          <w:szCs w:val="21"/>
          <w:lang w:val="zh-CN"/>
        </w:rPr>
        <w:t xml:space="preserve">甲方（盖章）：广东省监狱中心医院                乙方（盖章）：          </w:t>
      </w:r>
    </w:p>
    <w:p w14:paraId="07741558">
      <w:pPr>
        <w:spacing w:line="480" w:lineRule="auto"/>
        <w:rPr>
          <w:rFonts w:ascii="宋体" w:hAnsi="宋体"/>
          <w:b/>
          <w:bCs/>
          <w:szCs w:val="21"/>
        </w:rPr>
      </w:pPr>
      <w:r>
        <w:rPr>
          <w:rFonts w:hint="eastAsia" w:ascii="宋体" w:hAnsi="宋体" w:cs="宋体"/>
          <w:b/>
          <w:bCs/>
          <w:szCs w:val="21"/>
          <w:lang w:val="zh-CN"/>
        </w:rPr>
        <w:t>代表：</w:t>
      </w:r>
      <w:r>
        <w:rPr>
          <w:rFonts w:ascii="宋体" w:hAnsi="宋体" w:cs="宋体"/>
          <w:b/>
          <w:bCs/>
          <w:szCs w:val="21"/>
          <w:lang w:val="zh-CN"/>
        </w:rPr>
        <w:t xml:space="preserve"> </w:t>
      </w:r>
      <w:r>
        <w:rPr>
          <w:rFonts w:hint="eastAsia" w:ascii="宋体" w:hAnsi="宋体" w:cs="宋体"/>
          <w:b/>
          <w:bCs/>
          <w:szCs w:val="21"/>
          <w:lang w:val="zh-CN"/>
        </w:rPr>
        <w:t xml:space="preserve">                                        </w:t>
      </w:r>
      <w:r>
        <w:rPr>
          <w:rFonts w:ascii="宋体" w:hAnsi="宋体" w:cs="宋体"/>
          <w:b/>
          <w:bCs/>
          <w:szCs w:val="21"/>
          <w:lang w:val="zh-CN"/>
        </w:rPr>
        <w:t xml:space="preserve"> </w:t>
      </w:r>
      <w:r>
        <w:rPr>
          <w:rFonts w:hint="eastAsia" w:ascii="宋体" w:hAnsi="宋体" w:cs="宋体"/>
          <w:b/>
          <w:bCs/>
          <w:szCs w:val="21"/>
          <w:lang w:val="zh-CN"/>
        </w:rPr>
        <w:t>代表：</w:t>
      </w:r>
      <w:r>
        <w:rPr>
          <w:rFonts w:ascii="宋体" w:hAnsi="宋体" w:cs="宋体"/>
          <w:b/>
          <w:bCs/>
          <w:szCs w:val="21"/>
          <w:lang w:val="zh-CN"/>
        </w:rPr>
        <w:t xml:space="preserve"> </w:t>
      </w:r>
    </w:p>
    <w:p w14:paraId="11C9A7A2">
      <w:pPr>
        <w:spacing w:line="480" w:lineRule="auto"/>
        <w:rPr>
          <w:rFonts w:ascii="宋体" w:hAnsi="宋体"/>
          <w:szCs w:val="21"/>
        </w:rPr>
      </w:pPr>
      <w:r>
        <w:rPr>
          <w:rFonts w:hint="eastAsia" w:ascii="宋体" w:hAnsi="宋体" w:cs="宋体"/>
          <w:szCs w:val="21"/>
          <w:lang w:val="zh-CN"/>
        </w:rPr>
        <w:t>签定地点：</w:t>
      </w:r>
    </w:p>
    <w:p w14:paraId="014E18E0">
      <w:pPr>
        <w:widowControl/>
        <w:tabs>
          <w:tab w:val="left" w:pos="1200"/>
        </w:tabs>
        <w:spacing w:line="360" w:lineRule="auto"/>
        <w:jc w:val="left"/>
        <w:rPr>
          <w:b/>
          <w:bCs/>
          <w:sz w:val="30"/>
          <w:szCs w:val="30"/>
        </w:rPr>
        <w:sectPr>
          <w:pgSz w:w="11906" w:h="16838"/>
          <w:pgMar w:top="1440" w:right="1080" w:bottom="1440" w:left="1080" w:header="851" w:footer="992" w:gutter="0"/>
          <w:cols w:space="720" w:num="1"/>
          <w:docGrid w:type="lines" w:linePitch="312" w:charSpace="0"/>
        </w:sectPr>
      </w:pPr>
      <w:r>
        <w:rPr>
          <w:rFonts w:hint="eastAsia" w:ascii="宋体" w:hAnsi="宋体" w:cs="宋体"/>
          <w:szCs w:val="21"/>
          <w:lang w:val="zh-CN"/>
        </w:rPr>
        <w:t xml:space="preserve">签定日期：        年     月    日              签定日期：        年     月     日   </w:t>
      </w:r>
      <w:r>
        <w:rPr>
          <w:rFonts w:hint="eastAsia"/>
          <w:szCs w:val="21"/>
        </w:rPr>
        <w:t xml:space="preserve">             </w:t>
      </w:r>
    </w:p>
    <w:bookmarkEnd w:id="9"/>
    <w:p w14:paraId="035FCAC5">
      <w:pPr>
        <w:keepNext/>
        <w:keepLines/>
        <w:spacing w:before="340" w:line="579" w:lineRule="auto"/>
        <w:jc w:val="center"/>
        <w:rPr>
          <w:b/>
          <w:bCs/>
          <w:kern w:val="44"/>
          <w:sz w:val="32"/>
          <w:szCs w:val="32"/>
        </w:rPr>
      </w:pPr>
    </w:p>
    <w:p w14:paraId="0A33DF4E">
      <w:pPr>
        <w:keepNext/>
        <w:keepLines/>
        <w:spacing w:before="340" w:line="579" w:lineRule="auto"/>
        <w:jc w:val="center"/>
        <w:rPr>
          <w:b/>
          <w:bCs/>
          <w:kern w:val="44"/>
          <w:sz w:val="32"/>
          <w:szCs w:val="32"/>
        </w:rPr>
      </w:pPr>
    </w:p>
    <w:p w14:paraId="68BB0690">
      <w:pPr>
        <w:keepNext/>
        <w:keepLines/>
        <w:spacing w:before="340" w:line="579" w:lineRule="auto"/>
        <w:jc w:val="center"/>
        <w:rPr>
          <w:b/>
          <w:bCs/>
          <w:kern w:val="44"/>
          <w:sz w:val="32"/>
          <w:szCs w:val="32"/>
        </w:rPr>
      </w:pPr>
    </w:p>
    <w:p w14:paraId="7CA993B0">
      <w:pPr>
        <w:keepNext/>
        <w:keepLines/>
        <w:spacing w:before="340" w:line="579" w:lineRule="auto"/>
        <w:jc w:val="center"/>
        <w:rPr>
          <w:b/>
          <w:bCs/>
          <w:kern w:val="44"/>
          <w:sz w:val="32"/>
          <w:szCs w:val="32"/>
        </w:rPr>
      </w:pPr>
    </w:p>
    <w:p w14:paraId="73AF6017">
      <w:pPr>
        <w:pStyle w:val="2"/>
        <w:jc w:val="center"/>
      </w:pPr>
      <w:bookmarkStart w:id="15" w:name="_Toc21084"/>
      <w:bookmarkStart w:id="24" w:name="_GoBack"/>
      <w:bookmarkEnd w:id="24"/>
      <w:r>
        <w:rPr>
          <w:rFonts w:hint="eastAsia"/>
        </w:rPr>
        <w:t>第五章 报价文件格式</w:t>
      </w:r>
      <w:bookmarkEnd w:id="15"/>
    </w:p>
    <w:p w14:paraId="0CF1F3EA">
      <w:pPr>
        <w:keepNext/>
        <w:keepLines/>
        <w:spacing w:before="260" w:after="260" w:line="416" w:lineRule="auto"/>
        <w:jc w:val="center"/>
        <w:rPr>
          <w:rFonts w:ascii="Cambria" w:hAnsi="Cambria" w:cs="宋体"/>
          <w:b/>
          <w:bCs/>
          <w:sz w:val="32"/>
          <w:szCs w:val="32"/>
        </w:rPr>
      </w:pPr>
    </w:p>
    <w:p w14:paraId="3EEB11B8">
      <w:pPr>
        <w:keepNext/>
        <w:keepLines/>
        <w:spacing w:before="260" w:after="260" w:line="416" w:lineRule="auto"/>
        <w:jc w:val="center"/>
        <w:rPr>
          <w:rFonts w:ascii="Cambria" w:hAnsi="Cambria" w:cs="宋体"/>
          <w:b/>
          <w:bCs/>
          <w:sz w:val="32"/>
          <w:szCs w:val="32"/>
        </w:rPr>
      </w:pPr>
    </w:p>
    <w:p w14:paraId="3AF7E4FE">
      <w:pPr>
        <w:keepNext/>
        <w:keepLines/>
        <w:spacing w:before="260" w:after="260" w:line="416" w:lineRule="auto"/>
        <w:jc w:val="center"/>
        <w:rPr>
          <w:rFonts w:ascii="Cambria" w:hAnsi="Cambria" w:cs="宋体"/>
          <w:b/>
          <w:bCs/>
          <w:sz w:val="32"/>
          <w:szCs w:val="32"/>
        </w:rPr>
      </w:pPr>
    </w:p>
    <w:p w14:paraId="5C208279">
      <w:pPr>
        <w:keepNext/>
        <w:keepLines/>
        <w:spacing w:before="260" w:after="260" w:line="416" w:lineRule="auto"/>
        <w:jc w:val="center"/>
        <w:rPr>
          <w:rFonts w:ascii="Cambria" w:hAnsi="Cambria" w:cs="宋体"/>
          <w:b/>
          <w:bCs/>
          <w:sz w:val="32"/>
          <w:szCs w:val="32"/>
        </w:rPr>
      </w:pPr>
    </w:p>
    <w:p w14:paraId="24A851DC">
      <w:pPr>
        <w:keepNext/>
        <w:keepLines/>
        <w:spacing w:before="260" w:after="260" w:line="416" w:lineRule="auto"/>
        <w:jc w:val="center"/>
        <w:rPr>
          <w:rFonts w:ascii="Cambria" w:hAnsi="Cambria" w:cs="宋体"/>
          <w:b/>
          <w:bCs/>
          <w:sz w:val="32"/>
          <w:szCs w:val="32"/>
        </w:rPr>
      </w:pPr>
    </w:p>
    <w:p w14:paraId="21F5BF36">
      <w:pPr>
        <w:keepNext/>
        <w:keepLines/>
        <w:spacing w:before="260" w:after="260" w:line="416" w:lineRule="auto"/>
        <w:jc w:val="center"/>
        <w:rPr>
          <w:rFonts w:ascii="Cambria" w:hAnsi="Cambria" w:cs="宋体"/>
          <w:b/>
          <w:bCs/>
          <w:sz w:val="32"/>
          <w:szCs w:val="32"/>
        </w:rPr>
      </w:pPr>
    </w:p>
    <w:p w14:paraId="66AA225D">
      <w:pPr>
        <w:keepNext/>
        <w:keepLines/>
        <w:spacing w:before="260" w:after="260" w:line="416" w:lineRule="auto"/>
        <w:jc w:val="center"/>
        <w:rPr>
          <w:rFonts w:ascii="Cambria" w:hAnsi="Cambria" w:cs="宋体"/>
          <w:b/>
          <w:bCs/>
          <w:sz w:val="32"/>
          <w:szCs w:val="32"/>
        </w:rPr>
      </w:pPr>
    </w:p>
    <w:p w14:paraId="30CD03DE">
      <w:pPr>
        <w:keepNext/>
        <w:keepLines/>
        <w:spacing w:before="260" w:after="260" w:line="416" w:lineRule="auto"/>
        <w:jc w:val="center"/>
        <w:rPr>
          <w:rFonts w:ascii="Cambria" w:hAnsi="Cambria" w:cs="宋体"/>
          <w:b/>
          <w:bCs/>
          <w:sz w:val="32"/>
          <w:szCs w:val="32"/>
        </w:rPr>
      </w:pPr>
    </w:p>
    <w:p w14:paraId="0B5EDAFC">
      <w:pPr>
        <w:keepNext/>
        <w:keepLines/>
        <w:spacing w:before="260" w:after="260" w:line="416" w:lineRule="auto"/>
        <w:rPr>
          <w:rFonts w:ascii="Cambria" w:hAnsi="Cambria" w:cs="宋体"/>
          <w:b/>
          <w:bCs/>
          <w:sz w:val="32"/>
          <w:szCs w:val="32"/>
        </w:rPr>
      </w:pPr>
    </w:p>
    <w:p w14:paraId="1216FCBF">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格式1 报价表</w:t>
      </w:r>
    </w:p>
    <w:p w14:paraId="19D2B2EE">
      <w:pPr>
        <w:keepNext/>
        <w:keepLines/>
        <w:spacing w:before="260" w:after="260" w:line="416" w:lineRule="auto"/>
        <w:jc w:val="center"/>
        <w:rPr>
          <w:rFonts w:ascii="Cambria" w:hAnsi="Cambria" w:cs="宋体"/>
          <w:b/>
          <w:bCs/>
          <w:sz w:val="32"/>
          <w:szCs w:val="32"/>
        </w:rPr>
      </w:pPr>
      <w:r>
        <w:rPr>
          <w:rFonts w:ascii="Cambria" w:hAnsi="Cambria" w:cs="宋体"/>
          <w:b/>
          <w:bCs/>
          <w:sz w:val="32"/>
          <w:szCs w:val="32"/>
        </w:rPr>
        <w:t>报价表</w:t>
      </w:r>
    </w:p>
    <w:p w14:paraId="7D541EC9">
      <w:pPr>
        <w:spacing w:line="360" w:lineRule="auto"/>
        <w:ind w:firstLine="210" w:firstLineChars="100"/>
        <w:rPr>
          <w:rFonts w:hint="eastAsia" w:ascii="宋体" w:hAnsi="宋体" w:eastAsia="宋体" w:cs="宋体"/>
          <w:szCs w:val="21"/>
          <w:lang w:eastAsia="zh-CN"/>
        </w:rPr>
      </w:pPr>
      <w:r>
        <w:rPr>
          <w:rFonts w:hint="eastAsia" w:ascii="宋体" w:hAnsi="宋体" w:cs="宋体"/>
        </w:rPr>
        <w:t>项目编号：</w:t>
      </w:r>
      <w:r>
        <w:rPr>
          <w:rFonts w:hint="eastAsia"/>
          <w:szCs w:val="21"/>
          <w:lang w:eastAsia="zh-CN"/>
        </w:rPr>
        <w:t>GZGK25P038A0038J-1</w:t>
      </w:r>
    </w:p>
    <w:p w14:paraId="122DB895">
      <w:pPr>
        <w:spacing w:line="360" w:lineRule="auto"/>
        <w:ind w:firstLine="210" w:firstLineChars="100"/>
        <w:rPr>
          <w:rFonts w:hint="eastAsia" w:ascii="宋体" w:hAnsi="宋体" w:eastAsia="宋体" w:cs="宋体"/>
          <w:lang w:eastAsia="zh-CN"/>
        </w:rPr>
      </w:pPr>
      <w:r>
        <w:rPr>
          <w:rFonts w:hint="eastAsia" w:ascii="宋体" w:hAnsi="宋体" w:cs="宋体"/>
          <w:szCs w:val="21"/>
        </w:rPr>
        <w:t>项目名称：</w:t>
      </w:r>
      <w:r>
        <w:rPr>
          <w:rFonts w:hint="eastAsia"/>
          <w:szCs w:val="21"/>
          <w:lang w:eastAsia="zh-CN"/>
        </w:rPr>
        <w:t>广东省监狱中心医院2025年医用气体采购项目(重招)</w:t>
      </w:r>
    </w:p>
    <w:tbl>
      <w:tblPr>
        <w:tblStyle w:val="22"/>
        <w:tblW w:w="99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1"/>
        <w:gridCol w:w="1659"/>
        <w:gridCol w:w="1843"/>
        <w:gridCol w:w="2907"/>
      </w:tblGrid>
      <w:tr w14:paraId="5A287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51" w:type="dxa"/>
            <w:tcBorders>
              <w:top w:val="single" w:color="auto" w:sz="12" w:space="0"/>
              <w:bottom w:val="single" w:color="auto" w:sz="2" w:space="0"/>
            </w:tcBorders>
            <w:shd w:val="clear" w:color="auto" w:fill="EEECE1"/>
            <w:vAlign w:val="center"/>
          </w:tcPr>
          <w:p w14:paraId="08E693A2">
            <w:pPr>
              <w:spacing w:line="440" w:lineRule="exact"/>
              <w:jc w:val="center"/>
              <w:rPr>
                <w:rFonts w:ascii="宋体" w:hAnsi="宋体"/>
                <w:b/>
                <w:sz w:val="24"/>
              </w:rPr>
            </w:pPr>
            <w:r>
              <w:rPr>
                <w:rFonts w:hint="eastAsia" w:ascii="宋体" w:hAnsi="宋体"/>
                <w:b/>
                <w:sz w:val="24"/>
              </w:rPr>
              <w:t>采购内容</w:t>
            </w:r>
          </w:p>
        </w:tc>
        <w:tc>
          <w:tcPr>
            <w:tcW w:w="1659" w:type="dxa"/>
            <w:tcBorders>
              <w:top w:val="single" w:color="auto" w:sz="12" w:space="0"/>
              <w:bottom w:val="single" w:color="auto" w:sz="2" w:space="0"/>
            </w:tcBorders>
            <w:shd w:val="clear" w:color="auto" w:fill="EEECE1"/>
            <w:vAlign w:val="center"/>
          </w:tcPr>
          <w:p w14:paraId="5565F3C4">
            <w:pPr>
              <w:spacing w:line="440" w:lineRule="exact"/>
              <w:jc w:val="center"/>
              <w:rPr>
                <w:rFonts w:ascii="宋体" w:hAnsi="宋体"/>
                <w:b/>
                <w:sz w:val="24"/>
              </w:rPr>
            </w:pPr>
            <w:r>
              <w:rPr>
                <w:rFonts w:hint="eastAsia" w:ascii="宋体" w:hAnsi="宋体"/>
                <w:b/>
                <w:sz w:val="24"/>
              </w:rPr>
              <w:t>数量</w:t>
            </w:r>
          </w:p>
        </w:tc>
        <w:tc>
          <w:tcPr>
            <w:tcW w:w="1843" w:type="dxa"/>
            <w:tcBorders>
              <w:top w:val="single" w:color="auto" w:sz="12" w:space="0"/>
              <w:bottom w:val="single" w:color="auto" w:sz="2" w:space="0"/>
            </w:tcBorders>
            <w:shd w:val="clear" w:color="auto" w:fill="EEECE1"/>
            <w:vAlign w:val="center"/>
          </w:tcPr>
          <w:p w14:paraId="70DA7335">
            <w:pPr>
              <w:spacing w:line="440" w:lineRule="exact"/>
              <w:jc w:val="center"/>
              <w:rPr>
                <w:rFonts w:ascii="宋体" w:hAnsi="宋体"/>
                <w:b/>
                <w:sz w:val="24"/>
                <w:highlight w:val="yellow"/>
              </w:rPr>
            </w:pPr>
            <w:r>
              <w:rPr>
                <w:rFonts w:hint="eastAsia" w:ascii="宋体" w:hAnsi="宋体"/>
                <w:b/>
                <w:sz w:val="24"/>
              </w:rPr>
              <w:t>供货期</w:t>
            </w:r>
          </w:p>
        </w:tc>
        <w:tc>
          <w:tcPr>
            <w:tcW w:w="2907" w:type="dxa"/>
            <w:tcBorders>
              <w:top w:val="single" w:color="auto" w:sz="12" w:space="0"/>
              <w:bottom w:val="single" w:color="auto" w:sz="2" w:space="0"/>
            </w:tcBorders>
            <w:shd w:val="clear" w:color="auto" w:fill="EEECE1"/>
            <w:vAlign w:val="center"/>
          </w:tcPr>
          <w:p w14:paraId="3B684C98">
            <w:pPr>
              <w:spacing w:line="440" w:lineRule="exact"/>
              <w:jc w:val="center"/>
              <w:rPr>
                <w:rFonts w:ascii="宋体" w:hAnsi="宋体"/>
                <w:b/>
                <w:sz w:val="24"/>
              </w:rPr>
            </w:pPr>
            <w:r>
              <w:rPr>
                <w:rFonts w:hint="eastAsia"/>
                <w:b/>
                <w:sz w:val="24"/>
              </w:rPr>
              <w:t>响应折扣率（%）</w:t>
            </w:r>
          </w:p>
        </w:tc>
      </w:tr>
      <w:tr w14:paraId="5103D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3551" w:type="dxa"/>
            <w:tcBorders>
              <w:top w:val="single" w:color="auto" w:sz="2" w:space="0"/>
              <w:bottom w:val="single" w:color="auto" w:sz="2" w:space="0"/>
            </w:tcBorders>
            <w:vAlign w:val="center"/>
          </w:tcPr>
          <w:p w14:paraId="14CE5324">
            <w:pPr>
              <w:pStyle w:val="7"/>
              <w:spacing w:line="440" w:lineRule="exact"/>
              <w:jc w:val="center"/>
              <w:rPr>
                <w:rFonts w:hint="eastAsia" w:ascii="宋体" w:hAnsi="宋体" w:eastAsiaTheme="minorEastAsia" w:cstheme="minorBidi"/>
                <w:kern w:val="0"/>
                <w:lang w:eastAsia="zh-CN"/>
              </w:rPr>
            </w:pPr>
            <w:r>
              <w:rPr>
                <w:rFonts w:hint="eastAsia" w:cs="宋体" w:asciiTheme="minorEastAsia" w:hAnsiTheme="minorEastAsia" w:eastAsiaTheme="minorEastAsia"/>
                <w:lang w:val="en-US" w:eastAsia="zh-CN"/>
              </w:rPr>
              <w:t>医用气体</w:t>
            </w:r>
          </w:p>
        </w:tc>
        <w:tc>
          <w:tcPr>
            <w:tcW w:w="1659" w:type="dxa"/>
            <w:tcBorders>
              <w:top w:val="single" w:color="auto" w:sz="2" w:space="0"/>
              <w:bottom w:val="single" w:color="auto" w:sz="2" w:space="0"/>
            </w:tcBorders>
            <w:vAlign w:val="center"/>
          </w:tcPr>
          <w:p w14:paraId="234C5730">
            <w:pPr>
              <w:spacing w:line="440" w:lineRule="exact"/>
              <w:jc w:val="center"/>
              <w:rPr>
                <w:rFonts w:ascii="宋体" w:hAnsi="宋体" w:eastAsiaTheme="minorEastAsia"/>
                <w:kern w:val="0"/>
                <w:sz w:val="24"/>
              </w:rPr>
            </w:pPr>
            <w:r>
              <w:rPr>
                <w:rFonts w:hint="eastAsia" w:ascii="宋体" w:hAnsi="宋体"/>
                <w:kern w:val="0"/>
                <w:sz w:val="24"/>
              </w:rPr>
              <w:t>1批</w:t>
            </w:r>
          </w:p>
        </w:tc>
        <w:tc>
          <w:tcPr>
            <w:tcW w:w="1843" w:type="dxa"/>
            <w:tcBorders>
              <w:top w:val="single" w:color="auto" w:sz="2" w:space="0"/>
              <w:bottom w:val="single" w:color="auto" w:sz="2" w:space="0"/>
            </w:tcBorders>
            <w:vAlign w:val="center"/>
          </w:tcPr>
          <w:p w14:paraId="2E47C28A">
            <w:pPr>
              <w:pStyle w:val="6"/>
              <w:spacing w:line="440" w:lineRule="exact"/>
              <w:jc w:val="center"/>
              <w:rPr>
                <w:rFonts w:ascii="宋体" w:hAnsi="宋体"/>
                <w:sz w:val="24"/>
              </w:rPr>
            </w:pPr>
            <w:r>
              <w:rPr>
                <w:rFonts w:hint="eastAsia" w:ascii="宋体" w:hAnsi="宋体"/>
                <w:sz w:val="24"/>
              </w:rPr>
              <w:t>1年</w:t>
            </w:r>
          </w:p>
        </w:tc>
        <w:tc>
          <w:tcPr>
            <w:tcW w:w="2907" w:type="dxa"/>
            <w:tcBorders>
              <w:top w:val="single" w:color="auto" w:sz="2" w:space="0"/>
              <w:bottom w:val="single" w:color="auto" w:sz="2" w:space="0"/>
            </w:tcBorders>
            <w:vAlign w:val="center"/>
          </w:tcPr>
          <w:p w14:paraId="151E795A">
            <w:pPr>
              <w:spacing w:line="440" w:lineRule="exact"/>
              <w:jc w:val="center"/>
              <w:rPr>
                <w:rFonts w:ascii="宋体" w:hAnsi="宋体"/>
                <w:kern w:val="0"/>
                <w:sz w:val="24"/>
              </w:rPr>
            </w:pPr>
          </w:p>
        </w:tc>
      </w:tr>
    </w:tbl>
    <w:p w14:paraId="7F765777">
      <w:pPr>
        <w:rPr>
          <w:lang w:val="zh-CN"/>
        </w:rPr>
      </w:pPr>
    </w:p>
    <w:p w14:paraId="1887E179">
      <w:pPr>
        <w:spacing w:line="360" w:lineRule="auto"/>
        <w:ind w:left="420"/>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ascii="宋体" w:hAnsi="宋体"/>
          <w:color w:val="000000"/>
          <w:szCs w:val="21"/>
          <w:u w:val="single"/>
        </w:rPr>
        <w:t xml:space="preserve"> </w:t>
      </w:r>
    </w:p>
    <w:p w14:paraId="2A6E2770">
      <w:pPr>
        <w:spacing w:line="360" w:lineRule="auto"/>
        <w:ind w:left="420"/>
        <w:rPr>
          <w:rFonts w:ascii="宋体" w:hAnsi="宋体"/>
          <w:color w:val="000000"/>
          <w:spacing w:val="4"/>
          <w:szCs w:val="21"/>
          <w:u w:val="single"/>
        </w:rPr>
      </w:pPr>
      <w:r>
        <w:rPr>
          <w:rFonts w:hint="eastAsia" w:ascii="宋体" w:hAnsi="宋体"/>
          <w:color w:val="000000"/>
          <w:spacing w:val="4"/>
          <w:szCs w:val="21"/>
        </w:rPr>
        <w:t>日期：</w:t>
      </w:r>
      <w:r>
        <w:rPr>
          <w:rFonts w:ascii="宋体" w:hAnsi="宋体"/>
          <w:color w:val="000000"/>
          <w:spacing w:val="4"/>
          <w:szCs w:val="21"/>
        </w:rPr>
        <w:t xml:space="preserve">    </w:t>
      </w:r>
      <w:r>
        <w:rPr>
          <w:rFonts w:hint="eastAsia" w:ascii="宋体" w:hAnsi="宋体"/>
          <w:color w:val="000000"/>
          <w:spacing w:val="4"/>
          <w:szCs w:val="21"/>
        </w:rPr>
        <w:t>年</w:t>
      </w:r>
      <w:r>
        <w:rPr>
          <w:rFonts w:ascii="宋体" w:hAnsi="宋体"/>
          <w:color w:val="000000"/>
          <w:spacing w:val="4"/>
          <w:szCs w:val="21"/>
        </w:rPr>
        <w:t xml:space="preserve">  </w:t>
      </w:r>
      <w:r>
        <w:rPr>
          <w:rFonts w:hint="eastAsia" w:ascii="宋体" w:hAnsi="宋体"/>
          <w:color w:val="000000"/>
          <w:spacing w:val="4"/>
          <w:szCs w:val="21"/>
        </w:rPr>
        <w:t>月</w:t>
      </w:r>
      <w:r>
        <w:rPr>
          <w:rFonts w:ascii="宋体" w:hAnsi="宋体"/>
          <w:color w:val="000000"/>
          <w:spacing w:val="4"/>
          <w:szCs w:val="21"/>
        </w:rPr>
        <w:t xml:space="preserve">  </w:t>
      </w:r>
      <w:r>
        <w:rPr>
          <w:rFonts w:hint="eastAsia" w:ascii="宋体" w:hAnsi="宋体"/>
          <w:color w:val="000000"/>
          <w:spacing w:val="4"/>
          <w:szCs w:val="21"/>
        </w:rPr>
        <w:t>日</w:t>
      </w:r>
    </w:p>
    <w:p w14:paraId="0618835D">
      <w:pPr>
        <w:tabs>
          <w:tab w:val="left" w:pos="7740"/>
        </w:tabs>
        <w:adjustRightInd w:val="0"/>
        <w:snapToGrid w:val="0"/>
        <w:spacing w:line="360" w:lineRule="auto"/>
        <w:rPr>
          <w:rFonts w:ascii="宋体" w:hAnsi="宋体"/>
          <w:color w:val="000000"/>
          <w:szCs w:val="21"/>
        </w:rPr>
      </w:pPr>
    </w:p>
    <w:p w14:paraId="48A09C95">
      <w:pPr>
        <w:spacing w:line="360" w:lineRule="auto"/>
        <w:rPr>
          <w:rFonts w:ascii="宋体" w:hAnsi="宋体"/>
          <w:b/>
          <w:color w:val="000000"/>
          <w:spacing w:val="4"/>
          <w:szCs w:val="21"/>
        </w:rPr>
      </w:pPr>
      <w:r>
        <w:rPr>
          <w:rFonts w:hint="eastAsia" w:ascii="宋体" w:hAnsi="宋体"/>
          <w:b/>
          <w:color w:val="000000"/>
          <w:spacing w:val="4"/>
          <w:szCs w:val="21"/>
        </w:rPr>
        <w:t>注：</w:t>
      </w:r>
    </w:p>
    <w:p w14:paraId="3FAF0AA4">
      <w:pPr>
        <w:pStyle w:val="18"/>
        <w:numPr>
          <w:ilvl w:val="0"/>
          <w:numId w:val="6"/>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供应商必须按报价表的格式填写，不得增加或删除表格内容。除单价、金额或项目要求填写的内容外，不得擅自改动报价表内容，否则将有可能影响成交结果，不推荐为成交候选供应商；</w:t>
      </w:r>
    </w:p>
    <w:p w14:paraId="50E677AD">
      <w:pPr>
        <w:pStyle w:val="18"/>
        <w:numPr>
          <w:ilvl w:val="0"/>
          <w:numId w:val="6"/>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折扣率必须为固定报价（□□.□□％），不接受区间报价（例如□□.□□％～□□.□□％），在0.00%-100.00%范围内取值，若报价超出此范围则按无效报价处理；</w:t>
      </w:r>
    </w:p>
    <w:p w14:paraId="77F6D335">
      <w:pPr>
        <w:pStyle w:val="18"/>
        <w:numPr>
          <w:ilvl w:val="0"/>
          <w:numId w:val="6"/>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平台上报价与报价表合计不一致的，以报价表合计（经价格核准后的价格）为准；</w:t>
      </w:r>
    </w:p>
    <w:p w14:paraId="7A02BB11">
      <w:pPr>
        <w:widowControl/>
        <w:numPr>
          <w:ilvl w:val="0"/>
          <w:numId w:val="6"/>
        </w:numPr>
        <w:spacing w:line="340" w:lineRule="exact"/>
        <w:jc w:val="left"/>
        <w:rPr>
          <w:rFonts w:ascii="宋体" w:hAnsi="宋体" w:cs="宋体"/>
          <w:b/>
          <w:kern w:val="0"/>
          <w:szCs w:val="21"/>
        </w:rPr>
      </w:pPr>
      <w:r>
        <w:rPr>
          <w:rFonts w:hint="eastAsia" w:ascii="宋体" w:hAnsi="宋体" w:cs="宋体"/>
          <w:b/>
          <w:kern w:val="0"/>
          <w:szCs w:val="21"/>
        </w:rPr>
        <w:t>报价表必须加盖单位公章，否则视为无效报价。</w:t>
      </w:r>
    </w:p>
    <w:p w14:paraId="553B5673">
      <w:pPr>
        <w:widowControl/>
        <w:spacing w:line="340" w:lineRule="exact"/>
        <w:jc w:val="left"/>
        <w:rPr>
          <w:rFonts w:ascii="宋体" w:hAnsi="宋体" w:cs="宋体"/>
          <w:b/>
          <w:kern w:val="0"/>
          <w:szCs w:val="21"/>
        </w:rPr>
      </w:pPr>
    </w:p>
    <w:p w14:paraId="380B24AF">
      <w:pPr>
        <w:widowControl/>
        <w:spacing w:line="340" w:lineRule="exact"/>
        <w:jc w:val="left"/>
        <w:rPr>
          <w:rFonts w:ascii="宋体" w:hAnsi="宋体" w:cs="宋体"/>
          <w:b/>
          <w:kern w:val="0"/>
          <w:szCs w:val="21"/>
        </w:rPr>
      </w:pPr>
    </w:p>
    <w:p w14:paraId="6F58748C">
      <w:pPr>
        <w:widowControl/>
        <w:spacing w:line="340" w:lineRule="exact"/>
        <w:jc w:val="left"/>
        <w:rPr>
          <w:rFonts w:ascii="宋体" w:hAnsi="宋体" w:cs="宋体"/>
          <w:b/>
          <w:kern w:val="0"/>
          <w:szCs w:val="21"/>
        </w:rPr>
      </w:pPr>
    </w:p>
    <w:p w14:paraId="64C49B7F">
      <w:pPr>
        <w:widowControl/>
        <w:spacing w:line="340" w:lineRule="exact"/>
        <w:jc w:val="left"/>
        <w:rPr>
          <w:rFonts w:ascii="宋体" w:hAnsi="宋体" w:cs="宋体"/>
          <w:b/>
          <w:kern w:val="0"/>
          <w:szCs w:val="21"/>
        </w:rPr>
      </w:pPr>
    </w:p>
    <w:p w14:paraId="26728645">
      <w:pPr>
        <w:widowControl/>
        <w:spacing w:line="340" w:lineRule="exact"/>
        <w:jc w:val="left"/>
        <w:rPr>
          <w:rFonts w:ascii="宋体" w:hAnsi="宋体" w:cs="宋体"/>
          <w:b/>
          <w:kern w:val="0"/>
          <w:szCs w:val="21"/>
        </w:rPr>
      </w:pPr>
    </w:p>
    <w:p w14:paraId="4FED66B5">
      <w:pPr>
        <w:widowControl/>
        <w:spacing w:line="340" w:lineRule="exact"/>
        <w:jc w:val="left"/>
        <w:rPr>
          <w:rFonts w:ascii="宋体" w:hAnsi="宋体" w:cs="宋体"/>
          <w:b/>
          <w:kern w:val="0"/>
          <w:szCs w:val="21"/>
        </w:rPr>
      </w:pPr>
    </w:p>
    <w:p w14:paraId="57D0546E">
      <w:pPr>
        <w:widowControl/>
        <w:spacing w:line="340" w:lineRule="exact"/>
        <w:jc w:val="left"/>
        <w:rPr>
          <w:rFonts w:ascii="宋体" w:hAnsi="宋体" w:cs="宋体"/>
          <w:b/>
          <w:kern w:val="0"/>
          <w:szCs w:val="21"/>
        </w:rPr>
      </w:pPr>
    </w:p>
    <w:p w14:paraId="745D05B7">
      <w:pPr>
        <w:rPr>
          <w:rFonts w:ascii="宋体" w:hAnsi="宋体" w:cs="宋体"/>
          <w:b/>
          <w:kern w:val="0"/>
          <w:szCs w:val="21"/>
        </w:rPr>
      </w:pPr>
      <w:r>
        <w:rPr>
          <w:rFonts w:ascii="宋体" w:hAnsi="宋体" w:cs="宋体"/>
          <w:b/>
          <w:kern w:val="0"/>
          <w:szCs w:val="21"/>
        </w:rPr>
        <w:br w:type="page"/>
      </w:r>
    </w:p>
    <w:p w14:paraId="257E2109">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格式2 资格声明函</w:t>
      </w:r>
    </w:p>
    <w:p w14:paraId="442F68D8">
      <w:pPr>
        <w:pStyle w:val="18"/>
        <w:shd w:val="clear" w:color="auto" w:fill="FFFFFF"/>
        <w:spacing w:before="0" w:beforeAutospacing="0" w:after="0" w:afterAutospacing="0" w:line="276" w:lineRule="auto"/>
        <w:rPr>
          <w:rFonts w:cs="Times New Roman"/>
          <w:b/>
          <w:color w:val="000000"/>
          <w:spacing w:val="4"/>
          <w:kern w:val="2"/>
          <w:sz w:val="21"/>
          <w:szCs w:val="21"/>
        </w:rPr>
      </w:pPr>
    </w:p>
    <w:p w14:paraId="10356ED2">
      <w:pPr>
        <w:autoSpaceDE w:val="0"/>
        <w:autoSpaceDN w:val="0"/>
        <w:adjustRightInd w:val="0"/>
        <w:spacing w:line="360" w:lineRule="auto"/>
        <w:jc w:val="center"/>
        <w:rPr>
          <w:rFonts w:ascii="宋体" w:hAnsi="宋体"/>
          <w:b/>
          <w:bCs/>
          <w:sz w:val="32"/>
        </w:rPr>
      </w:pPr>
      <w:r>
        <w:rPr>
          <w:rFonts w:hint="eastAsia" w:ascii="宋体" w:hAnsi="宋体"/>
          <w:b/>
          <w:bCs/>
          <w:sz w:val="32"/>
        </w:rPr>
        <w:t>资格文件声明函</w:t>
      </w:r>
    </w:p>
    <w:p w14:paraId="5562C0BC">
      <w:pPr>
        <w:spacing w:line="360" w:lineRule="auto"/>
        <w:jc w:val="center"/>
        <w:rPr>
          <w:rFonts w:ascii="宋体" w:hAnsi="宋体"/>
          <w:b/>
          <w:bCs/>
        </w:rPr>
      </w:pPr>
    </w:p>
    <w:p w14:paraId="358440BC">
      <w:pPr>
        <w:spacing w:line="360" w:lineRule="auto"/>
        <w:ind w:left="105" w:leftChars="50" w:firstLine="2"/>
        <w:rPr>
          <w:rFonts w:ascii="宋体" w:hAnsi="宋体"/>
        </w:rPr>
      </w:pPr>
      <w:r>
        <w:rPr>
          <w:rFonts w:hint="eastAsia" w:ascii="宋体" w:hAnsi="宋体"/>
        </w:rPr>
        <w:t>致：</w:t>
      </w:r>
      <w:r>
        <w:rPr>
          <w:rFonts w:hint="eastAsia"/>
          <w:szCs w:val="21"/>
        </w:rPr>
        <w:t>广东省监狱中心医院</w:t>
      </w:r>
      <w:r>
        <w:rPr>
          <w:rFonts w:hint="eastAsia" w:hAnsi="宋体"/>
        </w:rPr>
        <w:t>/</w:t>
      </w:r>
      <w:r>
        <w:rPr>
          <w:rFonts w:hint="eastAsia" w:ascii="宋体" w:hAnsi="宋体"/>
        </w:rPr>
        <w:t>广州市国科招标代理有限公司</w:t>
      </w:r>
    </w:p>
    <w:p w14:paraId="242D61F3">
      <w:pPr>
        <w:spacing w:line="360" w:lineRule="auto"/>
        <w:ind w:firstLine="420" w:firstLineChars="200"/>
        <w:rPr>
          <w:rFonts w:ascii="宋体" w:hAnsi="宋体"/>
        </w:rPr>
      </w:pPr>
      <w:r>
        <w:rPr>
          <w:rFonts w:hint="eastAsia" w:ascii="宋体" w:hAnsi="宋体"/>
        </w:rPr>
        <w:t>关于贵方采购项目名称：</w:t>
      </w:r>
      <w:r>
        <w:rPr>
          <w:rFonts w:hint="eastAsia"/>
          <w:szCs w:val="21"/>
          <w:lang w:eastAsia="zh-CN"/>
        </w:rPr>
        <w:t>广东省监狱中心医院2025年医用气体采购项目(重招)</w:t>
      </w:r>
      <w:r>
        <w:rPr>
          <w:rFonts w:hint="eastAsia"/>
          <w:szCs w:val="21"/>
        </w:rPr>
        <w:t>（项目编号：</w:t>
      </w:r>
      <w:r>
        <w:rPr>
          <w:rFonts w:hint="eastAsia"/>
          <w:szCs w:val="21"/>
          <w:lang w:eastAsia="zh-CN"/>
        </w:rPr>
        <w:t>GZGK25P038A0038J-1</w:t>
      </w:r>
      <w:r>
        <w:rPr>
          <w:rFonts w:hint="eastAsia"/>
          <w:szCs w:val="21"/>
        </w:rPr>
        <w:t>）</w:t>
      </w:r>
      <w:r>
        <w:rPr>
          <w:rFonts w:hint="eastAsia" w:ascii="宋体" w:hAnsi="宋体"/>
        </w:rPr>
        <w:t>项目，本公司（企业）愿意参加，提供竞价文件中规定的货物/服务，并声明本公司（企业）具备本项目要求的资格条件，并已清楚竞价文件的要求及有关文件规定。</w:t>
      </w:r>
      <w:r>
        <w:rPr>
          <w:rFonts w:hint="eastAsia" w:hAnsi="宋体"/>
          <w:szCs w:val="21"/>
        </w:rPr>
        <w:t>我方非联合体参加竞标，我方承诺如获得成交，不会将本项目分包或转包。</w:t>
      </w:r>
      <w:r>
        <w:rPr>
          <w:rFonts w:hint="eastAsia" w:ascii="宋体" w:hAnsi="宋体"/>
        </w:rPr>
        <w:t>我方承诺在本次采购活动中提交的所有资质文件是准确、真实、有效的，如有违法、违规、弄虚作假行为，所造成的一切损失、不良后果及法律责任，一律由我公司（企业）承担。</w:t>
      </w:r>
    </w:p>
    <w:p w14:paraId="624E615A">
      <w:pPr>
        <w:spacing w:line="360" w:lineRule="auto"/>
        <w:rPr>
          <w:rFonts w:ascii="宋体" w:hAnsi="宋体"/>
        </w:rPr>
      </w:pPr>
      <w:r>
        <w:rPr>
          <w:rFonts w:hint="eastAsia" w:ascii="宋体" w:hAnsi="宋体"/>
        </w:rPr>
        <w:t xml:space="preserve">  </w:t>
      </w:r>
    </w:p>
    <w:p w14:paraId="264C55AA">
      <w:pPr>
        <w:spacing w:line="360" w:lineRule="auto"/>
        <w:rPr>
          <w:rFonts w:ascii="宋体" w:hAnsi="宋体"/>
        </w:rPr>
      </w:pPr>
      <w:r>
        <w:rPr>
          <w:rFonts w:hint="eastAsia" w:ascii="宋体" w:hAnsi="宋体"/>
        </w:rPr>
        <w:t xml:space="preserve">    特此声明！</w:t>
      </w:r>
    </w:p>
    <w:p w14:paraId="069417D3">
      <w:pPr>
        <w:spacing w:line="360" w:lineRule="auto"/>
        <w:rPr>
          <w:rFonts w:ascii="宋体" w:hAnsi="宋体"/>
        </w:rPr>
      </w:pPr>
    </w:p>
    <w:p w14:paraId="087EEA16">
      <w:pPr>
        <w:spacing w:line="360" w:lineRule="auto"/>
        <w:ind w:left="3570" w:leftChars="50" w:hanging="3465" w:hangingChars="1650"/>
        <w:rPr>
          <w:rFonts w:ascii="宋体" w:hAnsi="宋体"/>
          <w:u w:val="single"/>
        </w:rPr>
      </w:pPr>
      <w:r>
        <w:rPr>
          <w:rFonts w:hint="eastAsia" w:ascii="宋体" w:hAnsi="宋体"/>
        </w:rPr>
        <w:t xml:space="preserve">                                           竞价供应商名称（盖公章）：</w:t>
      </w:r>
      <w:r>
        <w:rPr>
          <w:rFonts w:hint="eastAsia" w:ascii="宋体" w:hAnsi="宋体"/>
          <w:u w:val="single"/>
        </w:rPr>
        <w:t xml:space="preserve">                             </w:t>
      </w:r>
    </w:p>
    <w:p w14:paraId="76CD59E5">
      <w:pPr>
        <w:spacing w:line="360" w:lineRule="auto"/>
        <w:ind w:firstLine="4628" w:firstLineChars="2204"/>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14:paraId="420FBD45">
      <w:pPr>
        <w:spacing w:line="360" w:lineRule="auto"/>
        <w:ind w:firstLine="4725" w:firstLineChars="22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C5F00C4">
      <w:pPr>
        <w:spacing w:line="360" w:lineRule="auto"/>
        <w:ind w:firstLine="4725" w:firstLineChars="2250"/>
        <w:rPr>
          <w:rFonts w:ascii="宋体" w:hAnsi="宋体"/>
        </w:rPr>
      </w:pPr>
    </w:p>
    <w:p w14:paraId="0406D550">
      <w:pPr>
        <w:spacing w:line="360" w:lineRule="auto"/>
        <w:ind w:firstLine="4725" w:firstLineChars="2250"/>
        <w:rPr>
          <w:rFonts w:ascii="宋体" w:hAnsi="宋体"/>
        </w:rPr>
      </w:pPr>
    </w:p>
    <w:p w14:paraId="52B65E8F">
      <w:pPr>
        <w:spacing w:line="360" w:lineRule="auto"/>
        <w:ind w:firstLine="4725" w:firstLineChars="2250"/>
        <w:rPr>
          <w:rFonts w:ascii="宋体" w:hAnsi="宋体"/>
        </w:rPr>
      </w:pPr>
    </w:p>
    <w:p w14:paraId="716E6BAC">
      <w:pPr>
        <w:spacing w:line="360" w:lineRule="auto"/>
        <w:ind w:firstLine="4725" w:firstLineChars="2250"/>
        <w:rPr>
          <w:rFonts w:ascii="宋体" w:hAnsi="宋体"/>
        </w:rPr>
      </w:pPr>
    </w:p>
    <w:p w14:paraId="4ED7C1EA">
      <w:pPr>
        <w:spacing w:line="360" w:lineRule="auto"/>
        <w:ind w:firstLine="4725" w:firstLineChars="2250"/>
        <w:rPr>
          <w:rFonts w:ascii="宋体" w:hAnsi="宋体"/>
        </w:rPr>
      </w:pPr>
    </w:p>
    <w:p w14:paraId="76002034">
      <w:pPr>
        <w:spacing w:line="360" w:lineRule="auto"/>
        <w:ind w:firstLine="4725" w:firstLineChars="2250"/>
        <w:rPr>
          <w:rFonts w:ascii="宋体" w:hAnsi="宋体"/>
        </w:rPr>
      </w:pPr>
    </w:p>
    <w:p w14:paraId="7FBC1FF1">
      <w:pPr>
        <w:spacing w:line="360" w:lineRule="auto"/>
        <w:ind w:firstLine="4725" w:firstLineChars="2250"/>
        <w:rPr>
          <w:rFonts w:ascii="宋体" w:hAnsi="宋体"/>
        </w:rPr>
      </w:pPr>
    </w:p>
    <w:p w14:paraId="04F06A10">
      <w:pPr>
        <w:spacing w:line="360" w:lineRule="auto"/>
        <w:ind w:firstLine="4725" w:firstLineChars="2250"/>
        <w:rPr>
          <w:rFonts w:ascii="宋体" w:hAnsi="宋体"/>
        </w:rPr>
      </w:pPr>
    </w:p>
    <w:p w14:paraId="28DF06A7">
      <w:pPr>
        <w:spacing w:line="360" w:lineRule="auto"/>
        <w:ind w:firstLine="4725" w:firstLineChars="2250"/>
        <w:rPr>
          <w:rFonts w:ascii="宋体" w:hAnsi="宋体"/>
        </w:rPr>
      </w:pPr>
    </w:p>
    <w:p w14:paraId="21F2347B">
      <w:pPr>
        <w:spacing w:line="360" w:lineRule="auto"/>
        <w:ind w:firstLine="4725" w:firstLineChars="2250"/>
        <w:rPr>
          <w:rFonts w:ascii="宋体" w:hAnsi="宋体"/>
        </w:rPr>
      </w:pPr>
    </w:p>
    <w:p w14:paraId="3D0C8483">
      <w:pPr>
        <w:spacing w:line="360" w:lineRule="auto"/>
        <w:ind w:firstLine="4725" w:firstLineChars="2250"/>
        <w:rPr>
          <w:rFonts w:ascii="宋体" w:hAnsi="宋体"/>
        </w:rPr>
      </w:pPr>
    </w:p>
    <w:p w14:paraId="56F79470">
      <w:pPr>
        <w:spacing w:line="360" w:lineRule="auto"/>
        <w:rPr>
          <w:rFonts w:ascii="宋体" w:hAnsi="宋体"/>
        </w:rPr>
      </w:pPr>
    </w:p>
    <w:p w14:paraId="696470BC">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格式3 法定代表人（负责人）证明书</w:t>
      </w:r>
    </w:p>
    <w:p w14:paraId="02C7D8F7">
      <w:pPr>
        <w:pStyle w:val="7"/>
        <w:jc w:val="center"/>
        <w:rPr>
          <w:b/>
          <w:bCs/>
          <w:sz w:val="21"/>
          <w:szCs w:val="21"/>
        </w:rPr>
      </w:pPr>
    </w:p>
    <w:p w14:paraId="1F925FC5">
      <w:pPr>
        <w:pStyle w:val="7"/>
        <w:spacing w:line="360" w:lineRule="auto"/>
        <w:jc w:val="center"/>
        <w:rPr>
          <w:b/>
          <w:bCs/>
          <w:sz w:val="32"/>
          <w:szCs w:val="32"/>
        </w:rPr>
      </w:pPr>
      <w:bookmarkStart w:id="16" w:name="_Toc385940902"/>
      <w:r>
        <w:rPr>
          <w:rFonts w:hint="eastAsia"/>
          <w:b/>
          <w:bCs/>
          <w:sz w:val="32"/>
          <w:szCs w:val="32"/>
        </w:rPr>
        <w:t>法定代表人（负责人）证明书</w:t>
      </w:r>
      <w:bookmarkEnd w:id="16"/>
    </w:p>
    <w:p w14:paraId="78D6C1B8">
      <w:pPr>
        <w:pStyle w:val="5"/>
        <w:spacing w:line="360" w:lineRule="auto"/>
        <w:rPr>
          <w:rFonts w:ascii="宋体" w:hAnsi="宋体"/>
          <w:bCs/>
          <w:u w:val="single"/>
        </w:rPr>
      </w:pPr>
    </w:p>
    <w:p w14:paraId="1AEAF57E">
      <w:pPr>
        <w:pStyle w:val="5"/>
        <w:spacing w:line="360" w:lineRule="auto"/>
        <w:ind w:firstLine="840" w:firstLineChars="400"/>
        <w:rPr>
          <w:rFonts w:ascii="宋体" w:hAnsi="宋体"/>
          <w:bCs/>
        </w:rPr>
      </w:pPr>
      <w:r>
        <w:rPr>
          <w:rFonts w:hint="eastAsia" w:ascii="宋体" w:hAnsi="宋体"/>
          <w:bCs/>
          <w:u w:val="single"/>
        </w:rPr>
        <w:t xml:space="preserve">        </w:t>
      </w:r>
      <w:r>
        <w:rPr>
          <w:rFonts w:hint="eastAsia" w:ascii="宋体" w:hAnsi="宋体"/>
          <w:bCs/>
        </w:rPr>
        <w:t>现任我单位</w:t>
      </w:r>
      <w:r>
        <w:rPr>
          <w:rFonts w:hint="eastAsia" w:ascii="宋体" w:hAnsi="宋体"/>
          <w:bCs/>
          <w:u w:val="single"/>
        </w:rPr>
        <w:t xml:space="preserve">                  </w:t>
      </w:r>
      <w:r>
        <w:rPr>
          <w:rFonts w:hint="eastAsia" w:ascii="宋体" w:hAnsi="宋体"/>
          <w:bCs/>
        </w:rPr>
        <w:t xml:space="preserve"> 职务，为法定代表人（负责人），特此证明。</w:t>
      </w:r>
    </w:p>
    <w:p w14:paraId="7C40B333">
      <w:pPr>
        <w:pStyle w:val="5"/>
        <w:spacing w:line="360" w:lineRule="auto"/>
        <w:rPr>
          <w:rFonts w:ascii="宋体" w:hAnsi="宋体"/>
          <w:bCs/>
        </w:rPr>
      </w:pPr>
      <w:r>
        <w:rPr>
          <w:rFonts w:hint="eastAsia" w:ascii="宋体" w:hAnsi="宋体"/>
          <w:bCs/>
        </w:rPr>
        <w:t>有效期限与本公司所提交的报价文件标注的响应有效期一致。签发日期：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42A61655">
      <w:pPr>
        <w:pStyle w:val="5"/>
        <w:spacing w:line="360" w:lineRule="auto"/>
        <w:rPr>
          <w:rFonts w:ascii="宋体" w:hAnsi="宋体"/>
          <w:bCs/>
        </w:rPr>
      </w:pPr>
      <w:r>
        <w:rPr>
          <w:rFonts w:hint="eastAsia" w:ascii="宋体" w:hAnsi="宋体"/>
          <w:bCs/>
        </w:rPr>
        <w:t>附：</w:t>
      </w:r>
    </w:p>
    <w:p w14:paraId="0ECE659D">
      <w:pPr>
        <w:pStyle w:val="5"/>
        <w:spacing w:line="360" w:lineRule="auto"/>
        <w:rPr>
          <w:rFonts w:ascii="宋体" w:hAnsi="宋体"/>
          <w:bCs/>
        </w:rPr>
      </w:pPr>
      <w:r>
        <w:rPr>
          <w:rFonts w:hint="eastAsia" w:ascii="宋体" w:hAnsi="宋体"/>
          <w:bCs/>
        </w:rPr>
        <w:t>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身份证号码：</w:t>
      </w:r>
      <w:r>
        <w:rPr>
          <w:rFonts w:hint="eastAsia" w:ascii="宋体" w:hAnsi="宋体"/>
          <w:bCs/>
          <w:u w:val="single"/>
        </w:rPr>
        <w:t xml:space="preserve">                   </w:t>
      </w:r>
      <w:r>
        <w:rPr>
          <w:rFonts w:hint="eastAsia" w:ascii="宋体" w:hAnsi="宋体"/>
          <w:bCs/>
        </w:rPr>
        <w:t xml:space="preserve"> </w:t>
      </w:r>
    </w:p>
    <w:p w14:paraId="66033C42">
      <w:pPr>
        <w:pStyle w:val="5"/>
        <w:spacing w:line="360" w:lineRule="auto"/>
        <w:rPr>
          <w:rFonts w:ascii="宋体" w:hAnsi="宋体"/>
          <w:bCs/>
        </w:rPr>
      </w:pPr>
      <w:r>
        <w:rPr>
          <w:rFonts w:hint="eastAsia" w:ascii="宋体" w:hAnsi="宋体"/>
          <w:bCs/>
        </w:rPr>
        <w:t>营业执照注册号（或统一社会信用代码）：</w:t>
      </w:r>
      <w:r>
        <w:rPr>
          <w:rFonts w:hint="eastAsia" w:ascii="宋体" w:hAnsi="宋体"/>
          <w:bCs/>
          <w:u w:val="single"/>
        </w:rPr>
        <w:t xml:space="preserve">                       </w:t>
      </w:r>
      <w:r>
        <w:rPr>
          <w:rFonts w:hint="eastAsia" w:ascii="宋体" w:hAnsi="宋体"/>
          <w:bCs/>
        </w:rPr>
        <w:t xml:space="preserve"> 企业类型：</w:t>
      </w:r>
      <w:r>
        <w:rPr>
          <w:rFonts w:hint="eastAsia" w:ascii="宋体" w:hAnsi="宋体"/>
          <w:bCs/>
          <w:u w:val="single"/>
        </w:rPr>
        <w:t xml:space="preserve">                    </w:t>
      </w:r>
      <w:r>
        <w:rPr>
          <w:rFonts w:hint="eastAsia" w:ascii="宋体" w:hAnsi="宋体"/>
          <w:bCs/>
        </w:rPr>
        <w:t xml:space="preserve"> </w:t>
      </w:r>
    </w:p>
    <w:p w14:paraId="08CAA46A">
      <w:pPr>
        <w:pStyle w:val="5"/>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p>
    <w:p w14:paraId="637A047A">
      <w:pPr>
        <w:pStyle w:val="5"/>
        <w:spacing w:line="360" w:lineRule="auto"/>
        <w:rPr>
          <w:rFonts w:ascii="宋体" w:hAnsi="宋体"/>
          <w:b/>
          <w:u w:val="single"/>
        </w:rPr>
      </w:pPr>
      <w:r>
        <w:rPr>
          <w:rFonts w:hint="eastAsia" w:ascii="宋体" w:hAnsi="宋体"/>
          <w:b/>
          <w:u w:val="single"/>
        </w:rPr>
        <w:t xml:space="preserve">                                                                                    </w:t>
      </w:r>
    </w:p>
    <w:p w14:paraId="5ABB4ECF">
      <w:pPr>
        <w:pStyle w:val="5"/>
        <w:spacing w:line="360" w:lineRule="auto"/>
        <w:rPr>
          <w:rFonts w:ascii="宋体" w:hAnsi="宋体"/>
        </w:rPr>
      </w:pPr>
      <w:r>
        <w:rPr>
          <w:rFonts w:hint="eastAsia" w:ascii="宋体" w:hAnsi="宋体"/>
          <w:b/>
          <w:u w:val="single"/>
        </w:rPr>
        <w:t xml:space="preserve">                                          </w:t>
      </w:r>
      <w:r>
        <w:rPr>
          <w:rFonts w:hint="eastAsia" w:ascii="宋体" w:hAnsi="宋体"/>
        </w:rPr>
        <w:t>。</w:t>
      </w:r>
    </w:p>
    <w:p w14:paraId="328078DA">
      <w:pPr>
        <w:pStyle w:val="5"/>
        <w:spacing w:line="360" w:lineRule="auto"/>
        <w:rPr>
          <w:rFonts w:ascii="宋体" w:hAnsi="宋体"/>
          <w:b/>
        </w:rPr>
      </w:pPr>
    </w:p>
    <w:p w14:paraId="33A45E59">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686F84CA">
                            <w:pPr>
                              <w:rPr>
                                <w:rFonts w:eastAsia="黑体"/>
                                <w:b/>
                                <w:sz w:val="30"/>
                              </w:rPr>
                            </w:pPr>
                          </w:p>
                          <w:p w14:paraId="513A9014">
                            <w:pPr>
                              <w:pStyle w:val="63"/>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0660449E">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686F84CA">
                      <w:pPr>
                        <w:rPr>
                          <w:rFonts w:eastAsia="黑体"/>
                          <w:b/>
                          <w:sz w:val="30"/>
                        </w:rPr>
                      </w:pPr>
                    </w:p>
                    <w:p w14:paraId="513A9014">
                      <w:pPr>
                        <w:pStyle w:val="63"/>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0660449E">
                      <w:pPr>
                        <w:jc w:val="center"/>
                        <w:rPr>
                          <w:bCs/>
                          <w:sz w:val="28"/>
                        </w:rPr>
                      </w:pPr>
                      <w:r>
                        <w:rPr>
                          <w:rFonts w:hint="eastAsia"/>
                          <w:bCs/>
                          <w:color w:val="000000"/>
                          <w:sz w:val="28"/>
                        </w:rPr>
                        <w:t>居民身份证正反面复印件粘贴处</w:t>
                      </w:r>
                    </w:p>
                  </w:txbxContent>
                </v:textbox>
              </v:rect>
            </w:pict>
          </mc:Fallback>
        </mc:AlternateContent>
      </w:r>
    </w:p>
    <w:p w14:paraId="0714C3F5">
      <w:pPr>
        <w:spacing w:line="360" w:lineRule="auto"/>
        <w:rPr>
          <w:rFonts w:ascii="宋体" w:hAnsi="宋体"/>
        </w:rPr>
      </w:pPr>
    </w:p>
    <w:p w14:paraId="7C7AF930">
      <w:pPr>
        <w:spacing w:line="360" w:lineRule="auto"/>
        <w:rPr>
          <w:rFonts w:ascii="宋体" w:hAnsi="宋体"/>
        </w:rPr>
      </w:pPr>
    </w:p>
    <w:p w14:paraId="4A2E769F">
      <w:pPr>
        <w:spacing w:line="360" w:lineRule="auto"/>
        <w:rPr>
          <w:rFonts w:ascii="宋体" w:hAnsi="宋体"/>
        </w:rPr>
      </w:pPr>
    </w:p>
    <w:p w14:paraId="2387C0FB">
      <w:pPr>
        <w:spacing w:line="360" w:lineRule="auto"/>
        <w:rPr>
          <w:rFonts w:ascii="宋体" w:hAnsi="宋体"/>
        </w:rPr>
      </w:pPr>
    </w:p>
    <w:p w14:paraId="701F3B47">
      <w:pPr>
        <w:spacing w:line="360" w:lineRule="auto"/>
        <w:rPr>
          <w:rFonts w:ascii="宋体" w:hAnsi="宋体"/>
        </w:rPr>
      </w:pPr>
    </w:p>
    <w:p w14:paraId="4E7A63A7">
      <w:pPr>
        <w:spacing w:line="360" w:lineRule="auto"/>
        <w:rPr>
          <w:rFonts w:ascii="宋体" w:hAnsi="宋体"/>
        </w:rPr>
      </w:pPr>
    </w:p>
    <w:p w14:paraId="463B9144">
      <w:pPr>
        <w:spacing w:line="360" w:lineRule="auto"/>
        <w:rPr>
          <w:rFonts w:ascii="宋体" w:hAnsi="宋体"/>
        </w:rPr>
      </w:pPr>
    </w:p>
    <w:p w14:paraId="7AC4185B">
      <w:pPr>
        <w:pStyle w:val="5"/>
        <w:spacing w:line="360" w:lineRule="auto"/>
        <w:rPr>
          <w:rFonts w:ascii="宋体" w:hAnsi="宋体"/>
          <w:b/>
        </w:rPr>
      </w:pPr>
    </w:p>
    <w:p w14:paraId="1B46E451">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14:paraId="727C628E">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A76931B">
      <w:pPr>
        <w:spacing w:line="360" w:lineRule="auto"/>
        <w:ind w:left="2" w:firstLine="403" w:firstLineChars="192"/>
        <w:rPr>
          <w:rFonts w:ascii="宋体" w:hAnsi="宋体"/>
        </w:rPr>
      </w:pPr>
    </w:p>
    <w:p w14:paraId="47F2236E">
      <w:pPr>
        <w:pStyle w:val="7"/>
        <w:spacing w:line="360" w:lineRule="auto"/>
        <w:ind w:left="180"/>
        <w:outlineLvl w:val="1"/>
        <w:rPr>
          <w:rFonts w:ascii="宋体" w:hAnsi="宋体"/>
          <w:b/>
          <w:bCs/>
        </w:rPr>
      </w:pPr>
      <w:r>
        <w:rPr>
          <w:rFonts w:ascii="宋体" w:hAnsi="宋体"/>
          <w:b/>
          <w:bCs/>
        </w:rPr>
        <w:br w:type="page"/>
      </w:r>
      <w:r>
        <w:rPr>
          <w:rFonts w:hint="eastAsia" w:ascii="宋体" w:hAnsi="宋体"/>
          <w:b/>
          <w:bCs/>
        </w:rPr>
        <w:t xml:space="preserve">格式4 </w:t>
      </w:r>
      <w:r>
        <w:rPr>
          <w:rFonts w:hint="eastAsia" w:ascii="Cambria" w:hAnsi="Cambria" w:cs="宋体"/>
          <w:b/>
          <w:bCs/>
          <w:sz w:val="28"/>
          <w:szCs w:val="28"/>
        </w:rPr>
        <w:t>法定代表人（负责人）授权委托书</w:t>
      </w:r>
    </w:p>
    <w:p w14:paraId="45508DA3">
      <w:pPr>
        <w:pStyle w:val="7"/>
        <w:jc w:val="center"/>
        <w:rPr>
          <w:b/>
          <w:bCs/>
          <w:sz w:val="21"/>
          <w:szCs w:val="21"/>
        </w:rPr>
      </w:pPr>
      <w:bookmarkStart w:id="17" w:name="_Toc52165081"/>
      <w:bookmarkStart w:id="18" w:name="_Toc76354925"/>
      <w:bookmarkStart w:id="19" w:name="_Toc50737297"/>
      <w:bookmarkStart w:id="20" w:name="_Toc50736477"/>
      <w:bookmarkStart w:id="21" w:name="_Toc50737329"/>
    </w:p>
    <w:p w14:paraId="33C2ECC9">
      <w:pPr>
        <w:pStyle w:val="7"/>
        <w:spacing w:line="360" w:lineRule="auto"/>
        <w:jc w:val="center"/>
        <w:rPr>
          <w:b/>
          <w:bCs/>
          <w:sz w:val="32"/>
          <w:szCs w:val="32"/>
        </w:rPr>
      </w:pPr>
      <w:bookmarkStart w:id="22" w:name="_Toc385940903"/>
      <w:r>
        <w:rPr>
          <w:rFonts w:hint="eastAsia"/>
          <w:b/>
          <w:bCs/>
          <w:sz w:val="32"/>
          <w:szCs w:val="32"/>
        </w:rPr>
        <w:t>法定代表人（负责人）授权委托书</w:t>
      </w:r>
      <w:bookmarkEnd w:id="17"/>
      <w:bookmarkEnd w:id="18"/>
      <w:bookmarkEnd w:id="19"/>
      <w:bookmarkEnd w:id="20"/>
      <w:bookmarkEnd w:id="21"/>
      <w:bookmarkEnd w:id="22"/>
    </w:p>
    <w:p w14:paraId="07D28182">
      <w:pPr>
        <w:spacing w:line="360" w:lineRule="auto"/>
        <w:rPr>
          <w:rFonts w:ascii="宋体" w:hAnsi="宋体"/>
        </w:rPr>
      </w:pPr>
    </w:p>
    <w:p w14:paraId="7125F978">
      <w:pPr>
        <w:spacing w:line="360" w:lineRule="auto"/>
        <w:ind w:left="2" w:firstLine="403" w:firstLineChars="192"/>
        <w:rPr>
          <w:rFonts w:ascii="宋体" w:hAnsi="宋体"/>
        </w:rPr>
      </w:pPr>
      <w:r>
        <w:rPr>
          <w:rFonts w:hint="eastAsia" w:ascii="宋体" w:hAnsi="宋体"/>
        </w:rPr>
        <w:t>本授权书声明：注册于</w:t>
      </w:r>
      <w:r>
        <w:rPr>
          <w:rFonts w:hint="eastAsia" w:ascii="宋体" w:hAnsi="宋体"/>
          <w:u w:val="single"/>
        </w:rPr>
        <w:t>（公司地址）</w:t>
      </w:r>
      <w:r>
        <w:rPr>
          <w:rFonts w:hint="eastAsia" w:ascii="宋体" w:hAnsi="宋体"/>
        </w:rPr>
        <w:t>的</w:t>
      </w:r>
      <w:r>
        <w:rPr>
          <w:rFonts w:hint="eastAsia" w:ascii="宋体" w:hAnsi="宋体"/>
          <w:u w:val="single"/>
        </w:rPr>
        <w:t>（响应供应商名称）</w:t>
      </w:r>
      <w:r>
        <w:rPr>
          <w:rFonts w:hint="eastAsia" w:ascii="宋体" w:hAnsi="宋体"/>
        </w:rPr>
        <w:t>在下面签字的</w:t>
      </w:r>
      <w:r>
        <w:rPr>
          <w:rFonts w:hint="eastAsia" w:ascii="宋体" w:hAnsi="宋体"/>
          <w:u w:val="single"/>
        </w:rPr>
        <w:t>（法定代表人（负责人）姓名、职务）</w:t>
      </w:r>
      <w:r>
        <w:rPr>
          <w:rFonts w:hint="eastAsia" w:ascii="宋体" w:hAnsi="宋体"/>
        </w:rPr>
        <w:t>代表本公司授权</w:t>
      </w:r>
      <w:r>
        <w:rPr>
          <w:rFonts w:hint="eastAsia" w:ascii="宋体" w:hAnsi="宋体"/>
          <w:u w:val="single"/>
        </w:rPr>
        <w:t>（单位名称）</w:t>
      </w:r>
      <w:r>
        <w:rPr>
          <w:rFonts w:hint="eastAsia" w:ascii="宋体" w:hAnsi="宋体"/>
        </w:rPr>
        <w:t>的</w:t>
      </w:r>
      <w:r>
        <w:rPr>
          <w:rFonts w:hint="eastAsia" w:ascii="宋体" w:hAnsi="宋体"/>
          <w:u w:val="single"/>
        </w:rPr>
        <w:t>（授权代表姓名、职务）</w:t>
      </w:r>
      <w:r>
        <w:rPr>
          <w:rFonts w:hint="eastAsia" w:ascii="宋体" w:hAnsi="宋体"/>
        </w:rPr>
        <w:t>为本公司的合法代理人，就广州市国科招标代理有限公司的项目编号为：</w:t>
      </w:r>
      <w:r>
        <w:rPr>
          <w:rFonts w:hint="eastAsia"/>
          <w:szCs w:val="21"/>
          <w:lang w:eastAsia="zh-CN"/>
        </w:rPr>
        <w:t>GZGK25P038A0038J-1</w:t>
      </w:r>
      <w:r>
        <w:rPr>
          <w:rFonts w:hint="eastAsia" w:ascii="宋体" w:hAnsi="宋体"/>
        </w:rPr>
        <w:t>的</w:t>
      </w:r>
      <w:r>
        <w:rPr>
          <w:rFonts w:hint="eastAsia"/>
          <w:szCs w:val="21"/>
          <w:lang w:eastAsia="zh-CN"/>
        </w:rPr>
        <w:t>广东省监狱中心医院2025年医用气体采购项目(重招)</w:t>
      </w:r>
      <w:r>
        <w:rPr>
          <w:rFonts w:hint="eastAsia" w:ascii="宋体" w:hAnsi="宋体"/>
        </w:rPr>
        <w:t>活动，提交竞价文件及采购合同的签订、执行、完成和售后服务，作为竞价供应商授权代表以本公司的名义处理一切与之有关的事宜。</w:t>
      </w:r>
    </w:p>
    <w:p w14:paraId="7A977E44">
      <w:pPr>
        <w:spacing w:line="360" w:lineRule="auto"/>
        <w:ind w:left="2" w:firstLine="403" w:firstLineChars="192"/>
        <w:rPr>
          <w:rFonts w:ascii="宋体" w:hAnsi="宋体"/>
        </w:rPr>
      </w:pPr>
      <w:r>
        <w:rPr>
          <w:rFonts w:hint="eastAsia" w:ascii="宋体" w:hAnsi="宋体"/>
        </w:rPr>
        <w:t>被授权人（竞价供应商授权代表）无转委托权限。</w:t>
      </w:r>
    </w:p>
    <w:p w14:paraId="1F52435E">
      <w:pPr>
        <w:spacing w:line="360" w:lineRule="auto"/>
        <w:ind w:left="2" w:firstLine="403" w:firstLineChars="192"/>
        <w:rPr>
          <w:rFonts w:ascii="宋体" w:hAnsi="宋体"/>
        </w:rPr>
      </w:pPr>
      <w:r>
        <w:rPr>
          <w:rFonts w:hint="eastAsia" w:ascii="宋体" w:hAnsi="宋体"/>
        </w:rPr>
        <w:t>本授权书于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日签字之日起生效，特此声明。</w:t>
      </w:r>
    </w:p>
    <w:p w14:paraId="39C44E3D">
      <w:pPr>
        <w:spacing w:line="360" w:lineRule="auto"/>
        <w:rPr>
          <w:rFonts w:ascii="宋体" w:hAnsi="宋体"/>
        </w:rPr>
      </w:pPr>
      <w:r>
        <w:rPr>
          <w:rFonts w:hint="eastAsia" w:ascii="宋体" w:hAnsi="宋体"/>
        </w:rPr>
        <w:t>附：</w:t>
      </w:r>
    </w:p>
    <w:p w14:paraId="552E3338">
      <w:pPr>
        <w:spacing w:line="360" w:lineRule="auto"/>
        <w:rPr>
          <w:rFonts w:ascii="宋体" w:hAnsi="宋体"/>
          <w:u w:val="single"/>
        </w:rPr>
      </w:pPr>
      <w:r>
        <w:rPr>
          <w:rFonts w:hint="eastAsia" w:ascii="宋体" w:hAnsi="宋体"/>
        </w:rPr>
        <w:t>竞价供应商名称（盖公章）：</w:t>
      </w:r>
      <w:r>
        <w:rPr>
          <w:rFonts w:hint="eastAsia" w:ascii="宋体" w:hAnsi="宋体"/>
          <w:u w:val="single"/>
        </w:rPr>
        <w:t xml:space="preserve">                               </w:t>
      </w:r>
    </w:p>
    <w:p w14:paraId="170277B3">
      <w:pPr>
        <w:spacing w:line="360" w:lineRule="auto"/>
        <w:rPr>
          <w:rFonts w:ascii="宋体" w:hAnsi="宋体"/>
          <w:u w:val="single"/>
        </w:rPr>
      </w:pPr>
      <w:r>
        <w:rPr>
          <w:rFonts w:hint="eastAsia" w:ascii="宋体" w:hAnsi="宋体"/>
        </w:rPr>
        <w:t>地址：</w:t>
      </w:r>
      <w:r>
        <w:rPr>
          <w:rFonts w:hint="eastAsia" w:ascii="宋体" w:hAnsi="宋体"/>
          <w:u w:val="single"/>
        </w:rPr>
        <w:t xml:space="preserve">                                                  </w:t>
      </w:r>
    </w:p>
    <w:p w14:paraId="0096AD02">
      <w:pPr>
        <w:spacing w:line="360" w:lineRule="auto"/>
        <w:rPr>
          <w:rFonts w:ascii="宋体" w:hAnsi="宋体"/>
          <w:u w:val="single"/>
        </w:rPr>
      </w:pPr>
      <w:r>
        <w:rPr>
          <w:rFonts w:hint="eastAsia" w:ascii="宋体" w:hAnsi="宋体"/>
        </w:rPr>
        <w:t>法定代表人（负责人）签字或盖章：</w:t>
      </w:r>
      <w:r>
        <w:rPr>
          <w:rFonts w:hint="eastAsia" w:ascii="宋体" w:hAnsi="宋体"/>
          <w:u w:val="single"/>
        </w:rPr>
        <w:t xml:space="preserve">                              </w:t>
      </w:r>
    </w:p>
    <w:p w14:paraId="5CFD4501">
      <w:pPr>
        <w:spacing w:line="360" w:lineRule="auto"/>
        <w:rPr>
          <w:rFonts w:ascii="宋体" w:hAnsi="宋体"/>
        </w:rPr>
      </w:pPr>
    </w:p>
    <w:p w14:paraId="686CED4E">
      <w:pPr>
        <w:spacing w:line="360" w:lineRule="auto"/>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14:paraId="40704B05">
      <w:pPr>
        <w:spacing w:line="360" w:lineRule="auto"/>
        <w:rPr>
          <w:rFonts w:ascii="宋体" w:hAnsi="宋体"/>
          <w:u w:val="single"/>
        </w:rPr>
      </w:pPr>
      <w:r>
        <w:rPr>
          <w:rFonts w:hint="eastAsia" w:ascii="宋体" w:hAnsi="宋体"/>
        </w:rPr>
        <w:t>职务：</w:t>
      </w:r>
      <w:r>
        <w:rPr>
          <w:rFonts w:hint="eastAsia" w:ascii="宋体" w:hAnsi="宋体"/>
          <w:u w:val="single"/>
        </w:rPr>
        <w:t xml:space="preserve">                </w:t>
      </w:r>
    </w:p>
    <w:p w14:paraId="51D5329B">
      <w:pPr>
        <w:spacing w:line="360" w:lineRule="auto"/>
        <w:rPr>
          <w:rFonts w:ascii="宋体" w:hAnsi="宋体"/>
        </w:rPr>
      </w:pPr>
    </w:p>
    <w:p w14:paraId="0EC82BE8">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65BEBBB5">
                            <w:pPr>
                              <w:rPr>
                                <w:rFonts w:eastAsia="黑体"/>
                                <w:b/>
                                <w:sz w:val="30"/>
                              </w:rPr>
                            </w:pPr>
                          </w:p>
                          <w:p w14:paraId="0DB3CB3E">
                            <w:pPr>
                              <w:jc w:val="center"/>
                              <w:rPr>
                                <w:rFonts w:eastAsia="华文中宋"/>
                                <w:bCs/>
                                <w:color w:val="000000"/>
                                <w:sz w:val="28"/>
                              </w:rPr>
                            </w:pPr>
                            <w:r>
                              <w:rPr>
                                <w:rFonts w:hint="eastAsia" w:ascii="宋体" w:hAnsi="宋体"/>
                                <w:color w:val="000000"/>
                                <w:sz w:val="28"/>
                              </w:rPr>
                              <w:t>竞价供应商授权代表</w:t>
                            </w:r>
                          </w:p>
                          <w:p w14:paraId="3CF9D00A">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65BEBBB5">
                      <w:pPr>
                        <w:rPr>
                          <w:rFonts w:eastAsia="黑体"/>
                          <w:b/>
                          <w:sz w:val="30"/>
                        </w:rPr>
                      </w:pPr>
                    </w:p>
                    <w:p w14:paraId="0DB3CB3E">
                      <w:pPr>
                        <w:jc w:val="center"/>
                        <w:rPr>
                          <w:rFonts w:eastAsia="华文中宋"/>
                          <w:bCs/>
                          <w:color w:val="000000"/>
                          <w:sz w:val="28"/>
                        </w:rPr>
                      </w:pPr>
                      <w:r>
                        <w:rPr>
                          <w:rFonts w:hint="eastAsia" w:ascii="宋体" w:hAnsi="宋体"/>
                          <w:color w:val="000000"/>
                          <w:sz w:val="28"/>
                        </w:rPr>
                        <w:t>竞价供应商授权代表</w:t>
                      </w:r>
                    </w:p>
                    <w:p w14:paraId="3CF9D00A">
                      <w:pPr>
                        <w:jc w:val="center"/>
                        <w:rPr>
                          <w:bCs/>
                          <w:sz w:val="28"/>
                        </w:rPr>
                      </w:pPr>
                      <w:r>
                        <w:rPr>
                          <w:rFonts w:hint="eastAsia"/>
                          <w:bCs/>
                          <w:color w:val="000000"/>
                          <w:sz w:val="28"/>
                        </w:rPr>
                        <w:t>居民身份证正反面复印件粘贴处</w:t>
                      </w:r>
                    </w:p>
                  </w:txbxContent>
                </v:textbox>
              </v:rect>
            </w:pict>
          </mc:Fallback>
        </mc:AlternateContent>
      </w:r>
    </w:p>
    <w:p w14:paraId="7F2E1518">
      <w:pPr>
        <w:spacing w:line="360" w:lineRule="auto"/>
        <w:rPr>
          <w:rFonts w:ascii="宋体" w:hAnsi="宋体"/>
        </w:rPr>
      </w:pPr>
    </w:p>
    <w:p w14:paraId="06D80922">
      <w:pPr>
        <w:spacing w:line="360" w:lineRule="auto"/>
        <w:rPr>
          <w:rFonts w:ascii="宋体" w:hAnsi="宋体"/>
        </w:rPr>
      </w:pPr>
    </w:p>
    <w:p w14:paraId="2595DA6B">
      <w:pPr>
        <w:spacing w:line="360" w:lineRule="auto"/>
        <w:rPr>
          <w:rFonts w:ascii="宋体" w:hAnsi="宋体"/>
        </w:rPr>
      </w:pPr>
    </w:p>
    <w:p w14:paraId="67ADF147">
      <w:pPr>
        <w:spacing w:line="360" w:lineRule="auto"/>
        <w:rPr>
          <w:rFonts w:ascii="宋体" w:hAnsi="宋体"/>
        </w:rPr>
      </w:pPr>
    </w:p>
    <w:p w14:paraId="729FA6BE">
      <w:pPr>
        <w:spacing w:line="360" w:lineRule="auto"/>
        <w:rPr>
          <w:rFonts w:ascii="宋体" w:hAnsi="宋体"/>
        </w:rPr>
      </w:pPr>
    </w:p>
    <w:p w14:paraId="1D86A712">
      <w:pPr>
        <w:spacing w:line="360" w:lineRule="auto"/>
        <w:rPr>
          <w:rFonts w:ascii="宋体" w:hAnsi="宋体"/>
        </w:rPr>
      </w:pPr>
    </w:p>
    <w:p w14:paraId="12C1E158">
      <w:pPr>
        <w:spacing w:line="360" w:lineRule="auto"/>
        <w:ind w:firstLine="4725" w:firstLineChars="2250"/>
        <w:rPr>
          <w:rFonts w:ascii="宋体" w:hAnsi="宋体"/>
        </w:rPr>
      </w:pPr>
    </w:p>
    <w:p w14:paraId="229926B6">
      <w:pPr>
        <w:spacing w:line="520" w:lineRule="exact"/>
        <w:rPr>
          <w:rFonts w:ascii="宋体" w:hAnsi="宋体"/>
          <w:spacing w:val="4"/>
          <w:szCs w:val="21"/>
          <w:u w:val="single"/>
        </w:rPr>
      </w:pPr>
    </w:p>
    <w:p w14:paraId="3EDA0626">
      <w:pPr>
        <w:keepNext/>
        <w:keepLines/>
        <w:spacing w:before="260" w:after="260" w:line="416" w:lineRule="auto"/>
        <w:jc w:val="left"/>
        <w:outlineLvl w:val="1"/>
        <w:rPr>
          <w:rFonts w:ascii="宋体" w:hAnsi="宋体"/>
          <w:b/>
          <w:bCs/>
          <w:sz w:val="24"/>
        </w:rPr>
      </w:pPr>
      <w:r>
        <w:rPr>
          <w:rFonts w:hint="eastAsia" w:ascii="宋体" w:hAnsi="宋体"/>
          <w:b/>
          <w:bCs/>
          <w:sz w:val="24"/>
        </w:rPr>
        <w:t>格式5 采购需求响应声明函</w:t>
      </w:r>
    </w:p>
    <w:p w14:paraId="2E9FD8FC">
      <w:pPr>
        <w:keepNext/>
        <w:keepLines/>
        <w:spacing w:before="260" w:after="260" w:line="416" w:lineRule="auto"/>
        <w:jc w:val="center"/>
        <w:rPr>
          <w:rFonts w:ascii="Cambria" w:hAnsi="Cambria" w:cs="Cambria"/>
          <w:b/>
          <w:bCs/>
          <w:sz w:val="32"/>
          <w:szCs w:val="32"/>
        </w:rPr>
      </w:pPr>
      <w:r>
        <w:rPr>
          <w:rFonts w:hint="eastAsia" w:ascii="Cambria" w:hAnsi="Cambria" w:cs="宋体"/>
          <w:b/>
          <w:bCs/>
          <w:sz w:val="32"/>
          <w:szCs w:val="32"/>
        </w:rPr>
        <w:t>采购需求响应声明函</w:t>
      </w:r>
    </w:p>
    <w:p w14:paraId="0AF8060D">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致：广州市国科招标代理有限公司、</w:t>
      </w:r>
      <w:r>
        <w:rPr>
          <w:rFonts w:hint="eastAsia"/>
          <w:szCs w:val="21"/>
        </w:rPr>
        <w:t>广东省监狱中心医院</w:t>
      </w:r>
    </w:p>
    <w:p w14:paraId="42E32F64">
      <w:pPr>
        <w:spacing w:line="360" w:lineRule="auto"/>
        <w:ind w:firstLine="420" w:firstLineChars="200"/>
        <w:jc w:val="left"/>
        <w:rPr>
          <w:rFonts w:ascii="宋体" w:hAnsi="宋体" w:cs="宋体"/>
          <w:b/>
          <w:bCs/>
          <w:szCs w:val="21"/>
          <w:u w:val="single"/>
        </w:rPr>
      </w:pPr>
      <w:r>
        <w:rPr>
          <w:rFonts w:hint="eastAsia" w:ascii="宋体" w:hAnsi="宋体" w:cs="宋体"/>
          <w:szCs w:val="21"/>
        </w:rPr>
        <w:t>关于贵单位、贵司发布</w:t>
      </w:r>
      <w:r>
        <w:rPr>
          <w:rFonts w:hint="eastAsia" w:ascii="宋体" w:hAnsi="宋体" w:cs="宋体"/>
          <w:szCs w:val="21"/>
          <w:lang w:eastAsia="zh-CN"/>
        </w:rPr>
        <w:t>广东省监狱中心医院2025年医用气体采购项目(重招)</w:t>
      </w:r>
      <w:r>
        <w:rPr>
          <w:rFonts w:hint="eastAsia" w:ascii="宋体" w:hAnsi="宋体" w:cs="宋体"/>
          <w:szCs w:val="21"/>
        </w:rPr>
        <w:t>（项目编号：</w:t>
      </w:r>
      <w:r>
        <w:rPr>
          <w:rFonts w:hint="eastAsia" w:ascii="宋体" w:hAnsi="宋体" w:cs="宋体"/>
          <w:szCs w:val="21"/>
          <w:lang w:eastAsia="zh-CN"/>
        </w:rPr>
        <w:t>GZGK25P038A0038J-1</w:t>
      </w:r>
      <w:r>
        <w:rPr>
          <w:rFonts w:hint="eastAsia" w:ascii="宋体" w:hAnsi="宋体" w:cs="宋体"/>
          <w:szCs w:val="21"/>
        </w:rPr>
        <w:t>）的竞价项目，本公司（企业）愿意参加采购活动，并作出如下声明：</w:t>
      </w:r>
    </w:p>
    <w:p w14:paraId="3903B23C">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候选人的要求。</w:t>
      </w:r>
    </w:p>
    <w:p w14:paraId="2E5541B3">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259EE3FE">
      <w:pPr>
        <w:tabs>
          <w:tab w:val="left" w:pos="426"/>
        </w:tabs>
        <w:snapToGrid w:val="0"/>
        <w:spacing w:line="360" w:lineRule="auto"/>
        <w:ind w:firstLine="420"/>
        <w:rPr>
          <w:rFonts w:ascii="宋体" w:hAnsi="宋体" w:cs="宋体"/>
          <w:szCs w:val="21"/>
        </w:rPr>
      </w:pPr>
    </w:p>
    <w:p w14:paraId="66D93B2D">
      <w:pPr>
        <w:tabs>
          <w:tab w:val="left" w:pos="426"/>
        </w:tabs>
        <w:snapToGrid w:val="0"/>
        <w:spacing w:line="360" w:lineRule="auto"/>
        <w:ind w:firstLine="420"/>
        <w:rPr>
          <w:rFonts w:ascii="宋体" w:hAnsi="宋体" w:cs="宋体"/>
          <w:szCs w:val="21"/>
        </w:rPr>
      </w:pPr>
    </w:p>
    <w:p w14:paraId="7E29865D">
      <w:pPr>
        <w:widowControl/>
        <w:jc w:val="left"/>
        <w:rPr>
          <w:rFonts w:ascii="宋体" w:hAnsi="Calibri"/>
          <w:b/>
          <w:bCs/>
          <w:kern w:val="0"/>
          <w:sz w:val="32"/>
          <w:szCs w:val="32"/>
        </w:rPr>
      </w:pPr>
    </w:p>
    <w:p w14:paraId="7D475C99">
      <w:pPr>
        <w:spacing w:line="360" w:lineRule="auto"/>
        <w:ind w:left="3702" w:leftChars="50" w:hanging="3597" w:hangingChars="1650"/>
        <w:rPr>
          <w:rFonts w:ascii="宋体" w:hAnsi="宋体"/>
          <w:u w:val="single"/>
        </w:rPr>
      </w:pPr>
      <w:r>
        <w:rPr>
          <w:rFonts w:hint="eastAsia" w:ascii="宋体" w:hAnsi="宋体" w:cs="宋体"/>
          <w:spacing w:val="4"/>
          <w:szCs w:val="21"/>
        </w:rPr>
        <w:t xml:space="preserve">                                               </w:t>
      </w:r>
      <w:r>
        <w:rPr>
          <w:rFonts w:hint="eastAsia" w:ascii="宋体" w:hAnsi="宋体"/>
        </w:rPr>
        <w:t xml:space="preserve">    竞价供应商名称（盖公章）：</w:t>
      </w:r>
      <w:r>
        <w:rPr>
          <w:rFonts w:hint="eastAsia" w:ascii="宋体" w:hAnsi="宋体"/>
          <w:u w:val="single"/>
        </w:rPr>
        <w:t xml:space="preserve">                             </w:t>
      </w:r>
    </w:p>
    <w:p w14:paraId="7F9FBD54">
      <w:pPr>
        <w:spacing w:line="360" w:lineRule="auto"/>
        <w:ind w:left="3675" w:leftChars="1750" w:firstLine="2205" w:firstLineChars="10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14:paraId="5ADA2B15">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69972C6">
      <w:pPr>
        <w:wordWrap w:val="0"/>
        <w:jc w:val="center"/>
        <w:rPr>
          <w:rFonts w:ascii="宋体" w:hAnsi="宋体" w:cs="宋体"/>
          <w:spacing w:val="4"/>
          <w:szCs w:val="21"/>
          <w:u w:val="single"/>
        </w:rPr>
      </w:pPr>
    </w:p>
    <w:p w14:paraId="6F0700A0">
      <w:pPr>
        <w:wordWrap w:val="0"/>
        <w:jc w:val="right"/>
        <w:rPr>
          <w:rFonts w:ascii="宋体" w:hAnsi="宋体" w:cs="宋体"/>
          <w:spacing w:val="4"/>
          <w:szCs w:val="21"/>
          <w:u w:val="single"/>
        </w:rPr>
      </w:pPr>
    </w:p>
    <w:p w14:paraId="3F039AA3">
      <w:pPr>
        <w:wordWrap w:val="0"/>
        <w:jc w:val="right"/>
        <w:rPr>
          <w:rFonts w:ascii="宋体" w:hAnsi="宋体" w:cs="宋体"/>
          <w:spacing w:val="4"/>
          <w:szCs w:val="21"/>
          <w:u w:val="single"/>
        </w:rPr>
      </w:pPr>
    </w:p>
    <w:p w14:paraId="69050418">
      <w:pPr>
        <w:wordWrap w:val="0"/>
        <w:jc w:val="right"/>
        <w:rPr>
          <w:rFonts w:ascii="宋体" w:hAnsi="宋体" w:cs="宋体"/>
          <w:spacing w:val="4"/>
          <w:szCs w:val="21"/>
          <w:u w:val="single"/>
        </w:rPr>
      </w:pPr>
    </w:p>
    <w:p w14:paraId="11806A69">
      <w:pPr>
        <w:rPr>
          <w:rFonts w:ascii="宋体" w:hAnsi="宋体" w:cs="宋体"/>
          <w:szCs w:val="21"/>
        </w:rPr>
      </w:pPr>
      <w:r>
        <w:rPr>
          <w:rFonts w:ascii="宋体" w:hAnsi="宋体" w:cs="宋体"/>
          <w:szCs w:val="21"/>
        </w:rPr>
        <w:br w:type="page"/>
      </w:r>
    </w:p>
    <w:p w14:paraId="54D7BCE2">
      <w:pPr>
        <w:pStyle w:val="7"/>
        <w:spacing w:line="360" w:lineRule="auto"/>
        <w:jc w:val="center"/>
        <w:rPr>
          <w:rFonts w:ascii="宋体" w:hAnsi="宋体" w:cs="宋体"/>
          <w:b/>
          <w:bCs/>
          <w:sz w:val="32"/>
          <w:szCs w:val="32"/>
        </w:rPr>
      </w:pPr>
      <w:r>
        <w:rPr>
          <w:rFonts w:hint="eastAsia" w:ascii="宋体" w:hAnsi="宋体" w:cs="宋体"/>
          <w:b/>
          <w:bCs/>
          <w:sz w:val="32"/>
          <w:szCs w:val="32"/>
        </w:rPr>
        <w:t>采购需求响应表</w:t>
      </w:r>
    </w:p>
    <w:p w14:paraId="5587576F">
      <w:pPr>
        <w:spacing w:line="360" w:lineRule="auto"/>
        <w:ind w:firstLine="210" w:firstLineChars="100"/>
        <w:rPr>
          <w:rFonts w:ascii="宋体" w:hAnsi="宋体" w:cs="宋体"/>
          <w:szCs w:val="21"/>
        </w:rPr>
      </w:pPr>
      <w:r>
        <w:rPr>
          <w:rFonts w:hint="eastAsia" w:ascii="宋体" w:hAnsi="宋体" w:cs="宋体"/>
        </w:rPr>
        <w:t>项目编号：</w:t>
      </w:r>
    </w:p>
    <w:p w14:paraId="08FACAF6">
      <w:pPr>
        <w:spacing w:line="360" w:lineRule="auto"/>
        <w:ind w:firstLine="210" w:firstLineChars="100"/>
        <w:rPr>
          <w:rFonts w:hint="eastAsia" w:ascii="宋体" w:hAnsi="宋体" w:eastAsia="宋体" w:cs="宋体"/>
          <w:lang w:eastAsia="zh-CN"/>
        </w:rPr>
      </w:pPr>
      <w:r>
        <w:rPr>
          <w:rFonts w:hint="eastAsia" w:ascii="宋体" w:hAnsi="宋体" w:cs="宋体"/>
          <w:szCs w:val="21"/>
        </w:rPr>
        <w:t>项目名称：</w:t>
      </w:r>
      <w:r>
        <w:rPr>
          <w:rFonts w:hint="eastAsia" w:ascii="宋体" w:hAnsi="宋体" w:cs="宋体"/>
          <w:lang w:eastAsia="zh-CN"/>
        </w:rPr>
        <w:t>广东省监狱中心医院2025年医用气体采购项目(重招)</w:t>
      </w:r>
    </w:p>
    <w:tbl>
      <w:tblPr>
        <w:tblStyle w:val="22"/>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71451C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693B445A">
            <w:pPr>
              <w:autoSpaceDE w:val="0"/>
              <w:autoSpaceDN w:val="0"/>
              <w:adjustRightInd w:val="0"/>
              <w:ind w:right="84" w:rightChars="40"/>
              <w:jc w:val="center"/>
              <w:rPr>
                <w:rFonts w:ascii="宋体" w:hAnsi="宋体" w:cs="宋体"/>
                <w:szCs w:val="21"/>
              </w:rPr>
            </w:pPr>
            <w:r>
              <w:rPr>
                <w:rFonts w:hint="eastAsia" w:ascii="宋体" w:hAnsi="宋体" w:cs="宋体"/>
                <w:szCs w:val="21"/>
              </w:rPr>
              <w:t>序号</w:t>
            </w:r>
          </w:p>
        </w:tc>
        <w:tc>
          <w:tcPr>
            <w:tcW w:w="2556" w:type="dxa"/>
            <w:tcBorders>
              <w:top w:val="single" w:color="auto" w:sz="12" w:space="0"/>
              <w:bottom w:val="single" w:color="auto" w:sz="2" w:space="0"/>
            </w:tcBorders>
            <w:vAlign w:val="center"/>
          </w:tcPr>
          <w:p w14:paraId="6FE048A6">
            <w:pPr>
              <w:autoSpaceDE w:val="0"/>
              <w:autoSpaceDN w:val="0"/>
              <w:adjustRightInd w:val="0"/>
              <w:ind w:right="84" w:rightChars="40"/>
              <w:jc w:val="center"/>
              <w:rPr>
                <w:rFonts w:ascii="宋体" w:hAnsi="宋体" w:cs="宋体"/>
                <w:szCs w:val="21"/>
              </w:rPr>
            </w:pPr>
            <w:r>
              <w:rPr>
                <w:rFonts w:hint="eastAsia" w:ascii="宋体" w:hAnsi="宋体" w:cs="宋体"/>
                <w:szCs w:val="21"/>
              </w:rPr>
              <w:t>采购需求内容</w:t>
            </w:r>
          </w:p>
        </w:tc>
        <w:tc>
          <w:tcPr>
            <w:tcW w:w="2214" w:type="dxa"/>
            <w:tcBorders>
              <w:top w:val="single" w:color="auto" w:sz="12" w:space="0"/>
              <w:bottom w:val="single" w:color="auto" w:sz="2" w:space="0"/>
            </w:tcBorders>
            <w:vAlign w:val="center"/>
          </w:tcPr>
          <w:p w14:paraId="2451628E">
            <w:pPr>
              <w:autoSpaceDE w:val="0"/>
              <w:autoSpaceDN w:val="0"/>
              <w:adjustRightInd w:val="0"/>
              <w:ind w:right="84" w:rightChars="40"/>
              <w:jc w:val="center"/>
              <w:rPr>
                <w:rFonts w:ascii="宋体" w:hAnsi="宋体" w:cs="宋体"/>
                <w:szCs w:val="21"/>
              </w:rPr>
            </w:pPr>
            <w:r>
              <w:rPr>
                <w:rFonts w:hint="eastAsia" w:ascii="宋体" w:hAnsi="宋体" w:cs="宋体"/>
                <w:szCs w:val="21"/>
              </w:rPr>
              <w:t>响应供应商响应详细内容</w:t>
            </w:r>
          </w:p>
        </w:tc>
        <w:tc>
          <w:tcPr>
            <w:tcW w:w="1833" w:type="dxa"/>
            <w:tcBorders>
              <w:top w:val="single" w:color="auto" w:sz="12" w:space="0"/>
              <w:bottom w:val="single" w:color="auto" w:sz="2" w:space="0"/>
            </w:tcBorders>
            <w:vAlign w:val="center"/>
          </w:tcPr>
          <w:p w14:paraId="37ED6317">
            <w:pPr>
              <w:autoSpaceDE w:val="0"/>
              <w:autoSpaceDN w:val="0"/>
              <w:adjustRightInd w:val="0"/>
              <w:ind w:right="84" w:rightChars="40"/>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1452" w:type="dxa"/>
            <w:tcBorders>
              <w:top w:val="single" w:color="auto" w:sz="12" w:space="0"/>
              <w:bottom w:val="single" w:color="auto" w:sz="2" w:space="0"/>
            </w:tcBorders>
            <w:vAlign w:val="center"/>
          </w:tcPr>
          <w:p w14:paraId="72DDFEA6">
            <w:pPr>
              <w:spacing w:line="360" w:lineRule="auto"/>
              <w:jc w:val="center"/>
              <w:rPr>
                <w:rFonts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vAlign w:val="center"/>
          </w:tcPr>
          <w:p w14:paraId="0B051A55">
            <w:pPr>
              <w:jc w:val="center"/>
              <w:rPr>
                <w:rFonts w:ascii="宋体" w:hAnsi="宋体" w:cs="宋体"/>
                <w:szCs w:val="21"/>
              </w:rPr>
            </w:pPr>
            <w:r>
              <w:rPr>
                <w:rFonts w:hint="eastAsia" w:ascii="宋体" w:hAnsi="宋体" w:cs="宋体"/>
                <w:szCs w:val="21"/>
              </w:rPr>
              <w:t>响应文件</w:t>
            </w:r>
          </w:p>
          <w:p w14:paraId="2236D105">
            <w:pPr>
              <w:jc w:val="center"/>
              <w:rPr>
                <w:rFonts w:ascii="宋体" w:hAnsi="宋体" w:cs="宋体"/>
                <w:szCs w:val="21"/>
              </w:rPr>
            </w:pPr>
            <w:r>
              <w:rPr>
                <w:rFonts w:hint="eastAsia" w:ascii="宋体" w:hAnsi="宋体" w:cs="宋体"/>
                <w:szCs w:val="21"/>
              </w:rPr>
              <w:t>响应页码</w:t>
            </w:r>
          </w:p>
        </w:tc>
      </w:tr>
      <w:tr w14:paraId="4FF94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15280D59">
            <w:pPr>
              <w:autoSpaceDE w:val="0"/>
              <w:autoSpaceDN w:val="0"/>
              <w:adjustRightInd w:val="0"/>
              <w:spacing w:line="360" w:lineRule="auto"/>
              <w:ind w:right="84" w:rightChars="40"/>
              <w:jc w:val="center"/>
              <w:rPr>
                <w:rFonts w:ascii="宋体" w:hAnsi="宋体" w:cs="宋体"/>
              </w:rPr>
            </w:pPr>
            <w:r>
              <w:rPr>
                <w:rFonts w:hint="eastAsia" w:ascii="宋体" w:hAnsi="宋体" w:cs="宋体"/>
              </w:rPr>
              <w:t>1</w:t>
            </w:r>
          </w:p>
        </w:tc>
        <w:tc>
          <w:tcPr>
            <w:tcW w:w="2556" w:type="dxa"/>
            <w:tcBorders>
              <w:top w:val="single" w:color="auto" w:sz="2" w:space="0"/>
            </w:tcBorders>
            <w:vAlign w:val="center"/>
          </w:tcPr>
          <w:p w14:paraId="4DF489AD">
            <w:pPr>
              <w:spacing w:line="360" w:lineRule="auto"/>
              <w:jc w:val="center"/>
              <w:rPr>
                <w:rFonts w:ascii="宋体" w:hAnsi="宋体" w:cs="宋体"/>
              </w:rPr>
            </w:pPr>
          </w:p>
        </w:tc>
        <w:tc>
          <w:tcPr>
            <w:tcW w:w="2214" w:type="dxa"/>
            <w:tcBorders>
              <w:top w:val="single" w:color="auto" w:sz="2" w:space="0"/>
            </w:tcBorders>
            <w:vAlign w:val="center"/>
          </w:tcPr>
          <w:p w14:paraId="20CE4CB2">
            <w:pPr>
              <w:autoSpaceDE w:val="0"/>
              <w:autoSpaceDN w:val="0"/>
              <w:adjustRightInd w:val="0"/>
              <w:spacing w:line="360" w:lineRule="auto"/>
              <w:ind w:right="84" w:rightChars="40"/>
              <w:rPr>
                <w:rFonts w:ascii="宋体" w:hAnsi="宋体" w:cs="宋体"/>
              </w:rPr>
            </w:pPr>
          </w:p>
        </w:tc>
        <w:tc>
          <w:tcPr>
            <w:tcW w:w="1833" w:type="dxa"/>
            <w:tcBorders>
              <w:top w:val="single" w:color="auto" w:sz="2" w:space="0"/>
            </w:tcBorders>
          </w:tcPr>
          <w:p w14:paraId="614E3184">
            <w:pPr>
              <w:autoSpaceDE w:val="0"/>
              <w:autoSpaceDN w:val="0"/>
              <w:adjustRightInd w:val="0"/>
              <w:spacing w:line="360" w:lineRule="auto"/>
              <w:ind w:right="84" w:rightChars="40"/>
              <w:jc w:val="center"/>
              <w:rPr>
                <w:rFonts w:ascii="宋体" w:hAnsi="宋体" w:cs="宋体"/>
              </w:rPr>
            </w:pPr>
          </w:p>
        </w:tc>
        <w:tc>
          <w:tcPr>
            <w:tcW w:w="1452" w:type="dxa"/>
            <w:tcBorders>
              <w:top w:val="single" w:color="auto" w:sz="2" w:space="0"/>
            </w:tcBorders>
          </w:tcPr>
          <w:p w14:paraId="62F29DF5">
            <w:pPr>
              <w:autoSpaceDE w:val="0"/>
              <w:autoSpaceDN w:val="0"/>
              <w:adjustRightInd w:val="0"/>
              <w:spacing w:line="360" w:lineRule="auto"/>
              <w:ind w:right="84" w:rightChars="40"/>
              <w:jc w:val="center"/>
              <w:rPr>
                <w:rFonts w:ascii="宋体" w:hAnsi="宋体" w:cs="宋体"/>
              </w:rPr>
            </w:pPr>
          </w:p>
        </w:tc>
        <w:tc>
          <w:tcPr>
            <w:tcW w:w="1080" w:type="dxa"/>
            <w:tcBorders>
              <w:top w:val="single" w:color="auto" w:sz="2" w:space="0"/>
            </w:tcBorders>
            <w:vAlign w:val="center"/>
          </w:tcPr>
          <w:p w14:paraId="0902788A">
            <w:pPr>
              <w:autoSpaceDE w:val="0"/>
              <w:autoSpaceDN w:val="0"/>
              <w:adjustRightInd w:val="0"/>
              <w:spacing w:line="360" w:lineRule="auto"/>
              <w:ind w:right="84" w:rightChars="40"/>
              <w:jc w:val="center"/>
              <w:rPr>
                <w:rFonts w:ascii="宋体" w:hAnsi="宋体" w:cs="宋体"/>
              </w:rPr>
            </w:pPr>
          </w:p>
        </w:tc>
      </w:tr>
      <w:tr w14:paraId="25D9B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1612AC9">
            <w:pPr>
              <w:autoSpaceDE w:val="0"/>
              <w:autoSpaceDN w:val="0"/>
              <w:adjustRightInd w:val="0"/>
              <w:spacing w:line="360" w:lineRule="auto"/>
              <w:ind w:right="84" w:rightChars="40"/>
              <w:jc w:val="center"/>
              <w:rPr>
                <w:rFonts w:ascii="宋体" w:hAnsi="宋体" w:cs="宋体"/>
              </w:rPr>
            </w:pPr>
            <w:r>
              <w:rPr>
                <w:rFonts w:hint="eastAsia" w:ascii="宋体" w:hAnsi="宋体" w:cs="宋体"/>
              </w:rPr>
              <w:t>2</w:t>
            </w:r>
          </w:p>
        </w:tc>
        <w:tc>
          <w:tcPr>
            <w:tcW w:w="2556" w:type="dxa"/>
            <w:vAlign w:val="center"/>
          </w:tcPr>
          <w:p w14:paraId="07085719">
            <w:pPr>
              <w:spacing w:line="360" w:lineRule="auto"/>
              <w:jc w:val="center"/>
              <w:rPr>
                <w:rFonts w:ascii="宋体" w:hAnsi="宋体" w:cs="宋体"/>
              </w:rPr>
            </w:pPr>
          </w:p>
        </w:tc>
        <w:tc>
          <w:tcPr>
            <w:tcW w:w="2214" w:type="dxa"/>
            <w:vAlign w:val="center"/>
          </w:tcPr>
          <w:p w14:paraId="68CA81D9">
            <w:pPr>
              <w:autoSpaceDE w:val="0"/>
              <w:autoSpaceDN w:val="0"/>
              <w:adjustRightInd w:val="0"/>
              <w:spacing w:line="360" w:lineRule="auto"/>
              <w:ind w:right="84" w:rightChars="40"/>
              <w:rPr>
                <w:rFonts w:ascii="宋体" w:hAnsi="宋体" w:cs="宋体"/>
              </w:rPr>
            </w:pPr>
          </w:p>
        </w:tc>
        <w:tc>
          <w:tcPr>
            <w:tcW w:w="1833" w:type="dxa"/>
          </w:tcPr>
          <w:p w14:paraId="77A7C90B">
            <w:pPr>
              <w:autoSpaceDE w:val="0"/>
              <w:autoSpaceDN w:val="0"/>
              <w:adjustRightInd w:val="0"/>
              <w:spacing w:line="360" w:lineRule="auto"/>
              <w:ind w:right="84" w:rightChars="40"/>
              <w:jc w:val="center"/>
              <w:rPr>
                <w:rFonts w:ascii="宋体" w:hAnsi="宋体" w:cs="宋体"/>
              </w:rPr>
            </w:pPr>
          </w:p>
        </w:tc>
        <w:tc>
          <w:tcPr>
            <w:tcW w:w="1452" w:type="dxa"/>
          </w:tcPr>
          <w:p w14:paraId="681D0741">
            <w:pPr>
              <w:autoSpaceDE w:val="0"/>
              <w:autoSpaceDN w:val="0"/>
              <w:adjustRightInd w:val="0"/>
              <w:spacing w:line="360" w:lineRule="auto"/>
              <w:ind w:right="84" w:rightChars="40"/>
              <w:jc w:val="center"/>
              <w:rPr>
                <w:rFonts w:ascii="宋体" w:hAnsi="宋体" w:cs="宋体"/>
              </w:rPr>
            </w:pPr>
          </w:p>
        </w:tc>
        <w:tc>
          <w:tcPr>
            <w:tcW w:w="1080" w:type="dxa"/>
            <w:vAlign w:val="center"/>
          </w:tcPr>
          <w:p w14:paraId="3D9C1864">
            <w:pPr>
              <w:autoSpaceDE w:val="0"/>
              <w:autoSpaceDN w:val="0"/>
              <w:adjustRightInd w:val="0"/>
              <w:spacing w:line="360" w:lineRule="auto"/>
              <w:ind w:right="84" w:rightChars="40"/>
              <w:jc w:val="center"/>
              <w:rPr>
                <w:rFonts w:ascii="宋体" w:hAnsi="宋体" w:cs="宋体"/>
              </w:rPr>
            </w:pPr>
          </w:p>
        </w:tc>
      </w:tr>
      <w:tr w14:paraId="2BCBC4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926C592">
            <w:pPr>
              <w:autoSpaceDE w:val="0"/>
              <w:autoSpaceDN w:val="0"/>
              <w:adjustRightInd w:val="0"/>
              <w:spacing w:line="360" w:lineRule="auto"/>
              <w:ind w:right="84" w:rightChars="40"/>
              <w:jc w:val="center"/>
              <w:rPr>
                <w:rFonts w:ascii="宋体" w:hAnsi="宋体" w:cs="宋体"/>
              </w:rPr>
            </w:pPr>
            <w:r>
              <w:rPr>
                <w:rFonts w:hint="eastAsia" w:ascii="宋体" w:hAnsi="宋体" w:cs="宋体"/>
              </w:rPr>
              <w:t>3</w:t>
            </w:r>
          </w:p>
        </w:tc>
        <w:tc>
          <w:tcPr>
            <w:tcW w:w="2556" w:type="dxa"/>
            <w:vAlign w:val="center"/>
          </w:tcPr>
          <w:p w14:paraId="6947535C">
            <w:pPr>
              <w:spacing w:line="360" w:lineRule="auto"/>
              <w:jc w:val="center"/>
              <w:rPr>
                <w:rFonts w:ascii="宋体" w:hAnsi="宋体" w:cs="宋体"/>
              </w:rPr>
            </w:pPr>
          </w:p>
        </w:tc>
        <w:tc>
          <w:tcPr>
            <w:tcW w:w="2214" w:type="dxa"/>
            <w:vAlign w:val="center"/>
          </w:tcPr>
          <w:p w14:paraId="5EA701B5">
            <w:pPr>
              <w:autoSpaceDE w:val="0"/>
              <w:autoSpaceDN w:val="0"/>
              <w:adjustRightInd w:val="0"/>
              <w:spacing w:line="360" w:lineRule="auto"/>
              <w:ind w:right="84" w:rightChars="40"/>
              <w:rPr>
                <w:rFonts w:ascii="宋体" w:hAnsi="宋体" w:cs="宋体"/>
              </w:rPr>
            </w:pPr>
          </w:p>
        </w:tc>
        <w:tc>
          <w:tcPr>
            <w:tcW w:w="1833" w:type="dxa"/>
          </w:tcPr>
          <w:p w14:paraId="145763EC">
            <w:pPr>
              <w:autoSpaceDE w:val="0"/>
              <w:autoSpaceDN w:val="0"/>
              <w:adjustRightInd w:val="0"/>
              <w:spacing w:line="360" w:lineRule="auto"/>
              <w:ind w:right="84" w:rightChars="40"/>
              <w:jc w:val="center"/>
              <w:rPr>
                <w:rFonts w:ascii="宋体" w:hAnsi="宋体" w:cs="宋体"/>
              </w:rPr>
            </w:pPr>
          </w:p>
        </w:tc>
        <w:tc>
          <w:tcPr>
            <w:tcW w:w="1452" w:type="dxa"/>
          </w:tcPr>
          <w:p w14:paraId="6CF83E27">
            <w:pPr>
              <w:autoSpaceDE w:val="0"/>
              <w:autoSpaceDN w:val="0"/>
              <w:adjustRightInd w:val="0"/>
              <w:spacing w:line="360" w:lineRule="auto"/>
              <w:ind w:right="84" w:rightChars="40"/>
              <w:jc w:val="center"/>
              <w:rPr>
                <w:rFonts w:ascii="宋体" w:hAnsi="宋体" w:cs="宋体"/>
              </w:rPr>
            </w:pPr>
          </w:p>
        </w:tc>
        <w:tc>
          <w:tcPr>
            <w:tcW w:w="1080" w:type="dxa"/>
            <w:vAlign w:val="center"/>
          </w:tcPr>
          <w:p w14:paraId="63DF7A49">
            <w:pPr>
              <w:autoSpaceDE w:val="0"/>
              <w:autoSpaceDN w:val="0"/>
              <w:adjustRightInd w:val="0"/>
              <w:spacing w:line="360" w:lineRule="auto"/>
              <w:ind w:right="84" w:rightChars="40"/>
              <w:jc w:val="center"/>
              <w:rPr>
                <w:rFonts w:ascii="宋体" w:hAnsi="宋体" w:cs="宋体"/>
              </w:rPr>
            </w:pPr>
          </w:p>
        </w:tc>
      </w:tr>
      <w:tr w14:paraId="6F83F5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3320920">
            <w:pPr>
              <w:autoSpaceDE w:val="0"/>
              <w:autoSpaceDN w:val="0"/>
              <w:adjustRightInd w:val="0"/>
              <w:spacing w:line="360" w:lineRule="auto"/>
              <w:ind w:right="84" w:rightChars="40"/>
              <w:jc w:val="center"/>
              <w:rPr>
                <w:rFonts w:ascii="宋体" w:hAnsi="宋体" w:cs="宋体"/>
              </w:rPr>
            </w:pPr>
            <w:r>
              <w:rPr>
                <w:rFonts w:hint="eastAsia" w:ascii="宋体" w:hAnsi="宋体" w:cs="宋体"/>
              </w:rPr>
              <w:t>4</w:t>
            </w:r>
          </w:p>
        </w:tc>
        <w:tc>
          <w:tcPr>
            <w:tcW w:w="2556" w:type="dxa"/>
            <w:vAlign w:val="center"/>
          </w:tcPr>
          <w:p w14:paraId="46D61676">
            <w:pPr>
              <w:spacing w:line="360" w:lineRule="auto"/>
              <w:jc w:val="center"/>
              <w:rPr>
                <w:rFonts w:ascii="宋体" w:hAnsi="宋体" w:cs="宋体"/>
              </w:rPr>
            </w:pPr>
          </w:p>
        </w:tc>
        <w:tc>
          <w:tcPr>
            <w:tcW w:w="2214" w:type="dxa"/>
            <w:vAlign w:val="center"/>
          </w:tcPr>
          <w:p w14:paraId="257976FB">
            <w:pPr>
              <w:autoSpaceDE w:val="0"/>
              <w:autoSpaceDN w:val="0"/>
              <w:adjustRightInd w:val="0"/>
              <w:spacing w:line="360" w:lineRule="auto"/>
              <w:ind w:right="84" w:rightChars="40"/>
              <w:rPr>
                <w:rFonts w:ascii="宋体" w:hAnsi="宋体" w:cs="宋体"/>
              </w:rPr>
            </w:pPr>
          </w:p>
        </w:tc>
        <w:tc>
          <w:tcPr>
            <w:tcW w:w="1833" w:type="dxa"/>
          </w:tcPr>
          <w:p w14:paraId="5E6936D2">
            <w:pPr>
              <w:autoSpaceDE w:val="0"/>
              <w:autoSpaceDN w:val="0"/>
              <w:adjustRightInd w:val="0"/>
              <w:spacing w:line="360" w:lineRule="auto"/>
              <w:ind w:right="84" w:rightChars="40"/>
              <w:jc w:val="center"/>
              <w:rPr>
                <w:rFonts w:ascii="宋体" w:hAnsi="宋体" w:cs="宋体"/>
              </w:rPr>
            </w:pPr>
          </w:p>
        </w:tc>
        <w:tc>
          <w:tcPr>
            <w:tcW w:w="1452" w:type="dxa"/>
          </w:tcPr>
          <w:p w14:paraId="2ED39347">
            <w:pPr>
              <w:autoSpaceDE w:val="0"/>
              <w:autoSpaceDN w:val="0"/>
              <w:adjustRightInd w:val="0"/>
              <w:spacing w:line="360" w:lineRule="auto"/>
              <w:ind w:right="84" w:rightChars="40"/>
              <w:jc w:val="center"/>
              <w:rPr>
                <w:rFonts w:ascii="宋体" w:hAnsi="宋体" w:cs="宋体"/>
              </w:rPr>
            </w:pPr>
          </w:p>
        </w:tc>
        <w:tc>
          <w:tcPr>
            <w:tcW w:w="1080" w:type="dxa"/>
            <w:vAlign w:val="center"/>
          </w:tcPr>
          <w:p w14:paraId="0D68510E">
            <w:pPr>
              <w:autoSpaceDE w:val="0"/>
              <w:autoSpaceDN w:val="0"/>
              <w:adjustRightInd w:val="0"/>
              <w:spacing w:line="360" w:lineRule="auto"/>
              <w:ind w:right="84" w:rightChars="40"/>
              <w:jc w:val="center"/>
              <w:rPr>
                <w:rFonts w:ascii="宋体" w:hAnsi="宋体" w:cs="宋体"/>
              </w:rPr>
            </w:pPr>
          </w:p>
        </w:tc>
      </w:tr>
      <w:tr w14:paraId="65E051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E56B961">
            <w:pPr>
              <w:autoSpaceDE w:val="0"/>
              <w:autoSpaceDN w:val="0"/>
              <w:adjustRightInd w:val="0"/>
              <w:spacing w:line="360" w:lineRule="auto"/>
              <w:ind w:right="84" w:rightChars="40"/>
              <w:jc w:val="center"/>
              <w:rPr>
                <w:rFonts w:ascii="宋体" w:hAnsi="宋体" w:cs="宋体"/>
              </w:rPr>
            </w:pPr>
            <w:r>
              <w:rPr>
                <w:rFonts w:hint="eastAsia" w:ascii="宋体" w:hAnsi="宋体" w:cs="宋体"/>
              </w:rPr>
              <w:t>5</w:t>
            </w:r>
          </w:p>
        </w:tc>
        <w:tc>
          <w:tcPr>
            <w:tcW w:w="2556" w:type="dxa"/>
            <w:vAlign w:val="center"/>
          </w:tcPr>
          <w:p w14:paraId="272D773E">
            <w:pPr>
              <w:spacing w:line="360" w:lineRule="auto"/>
              <w:jc w:val="center"/>
              <w:rPr>
                <w:rFonts w:ascii="宋体" w:hAnsi="宋体" w:cs="宋体"/>
              </w:rPr>
            </w:pPr>
          </w:p>
        </w:tc>
        <w:tc>
          <w:tcPr>
            <w:tcW w:w="2214" w:type="dxa"/>
            <w:vAlign w:val="center"/>
          </w:tcPr>
          <w:p w14:paraId="47B3657E">
            <w:pPr>
              <w:autoSpaceDE w:val="0"/>
              <w:autoSpaceDN w:val="0"/>
              <w:adjustRightInd w:val="0"/>
              <w:spacing w:line="360" w:lineRule="auto"/>
              <w:ind w:right="84" w:rightChars="40"/>
              <w:rPr>
                <w:rFonts w:ascii="宋体" w:hAnsi="宋体" w:cs="宋体"/>
              </w:rPr>
            </w:pPr>
          </w:p>
        </w:tc>
        <w:tc>
          <w:tcPr>
            <w:tcW w:w="1833" w:type="dxa"/>
          </w:tcPr>
          <w:p w14:paraId="2C2B113F">
            <w:pPr>
              <w:autoSpaceDE w:val="0"/>
              <w:autoSpaceDN w:val="0"/>
              <w:adjustRightInd w:val="0"/>
              <w:spacing w:line="360" w:lineRule="auto"/>
              <w:ind w:right="84" w:rightChars="40"/>
              <w:jc w:val="center"/>
              <w:rPr>
                <w:rFonts w:ascii="宋体" w:hAnsi="宋体" w:cs="宋体"/>
              </w:rPr>
            </w:pPr>
          </w:p>
        </w:tc>
        <w:tc>
          <w:tcPr>
            <w:tcW w:w="1452" w:type="dxa"/>
          </w:tcPr>
          <w:p w14:paraId="1D7D18B7">
            <w:pPr>
              <w:autoSpaceDE w:val="0"/>
              <w:autoSpaceDN w:val="0"/>
              <w:adjustRightInd w:val="0"/>
              <w:spacing w:line="360" w:lineRule="auto"/>
              <w:ind w:right="84" w:rightChars="40"/>
              <w:jc w:val="center"/>
              <w:rPr>
                <w:rFonts w:ascii="宋体" w:hAnsi="宋体" w:cs="宋体"/>
              </w:rPr>
            </w:pPr>
          </w:p>
        </w:tc>
        <w:tc>
          <w:tcPr>
            <w:tcW w:w="1080" w:type="dxa"/>
            <w:vAlign w:val="center"/>
          </w:tcPr>
          <w:p w14:paraId="57F3BD2F">
            <w:pPr>
              <w:autoSpaceDE w:val="0"/>
              <w:autoSpaceDN w:val="0"/>
              <w:adjustRightInd w:val="0"/>
              <w:spacing w:line="360" w:lineRule="auto"/>
              <w:ind w:right="84" w:rightChars="40"/>
              <w:jc w:val="center"/>
              <w:rPr>
                <w:rFonts w:ascii="宋体" w:hAnsi="宋体" w:cs="宋体"/>
              </w:rPr>
            </w:pPr>
          </w:p>
        </w:tc>
      </w:tr>
      <w:tr w14:paraId="67499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9BEECD7">
            <w:pPr>
              <w:autoSpaceDE w:val="0"/>
              <w:autoSpaceDN w:val="0"/>
              <w:adjustRightInd w:val="0"/>
              <w:spacing w:line="360" w:lineRule="auto"/>
              <w:ind w:right="84" w:rightChars="40"/>
              <w:jc w:val="center"/>
              <w:rPr>
                <w:rFonts w:ascii="宋体" w:hAnsi="宋体" w:cs="宋体"/>
              </w:rPr>
            </w:pPr>
            <w:r>
              <w:rPr>
                <w:rFonts w:hint="eastAsia" w:ascii="宋体" w:hAnsi="宋体" w:cs="宋体"/>
              </w:rPr>
              <w:t>6</w:t>
            </w:r>
          </w:p>
        </w:tc>
        <w:tc>
          <w:tcPr>
            <w:tcW w:w="2556" w:type="dxa"/>
            <w:vAlign w:val="center"/>
          </w:tcPr>
          <w:p w14:paraId="2B5076A1">
            <w:pPr>
              <w:spacing w:line="360" w:lineRule="auto"/>
              <w:jc w:val="center"/>
              <w:rPr>
                <w:rFonts w:ascii="宋体" w:hAnsi="宋体" w:cs="宋体"/>
              </w:rPr>
            </w:pPr>
          </w:p>
        </w:tc>
        <w:tc>
          <w:tcPr>
            <w:tcW w:w="2214" w:type="dxa"/>
            <w:vAlign w:val="center"/>
          </w:tcPr>
          <w:p w14:paraId="6EFE7B25">
            <w:pPr>
              <w:autoSpaceDE w:val="0"/>
              <w:autoSpaceDN w:val="0"/>
              <w:adjustRightInd w:val="0"/>
              <w:spacing w:line="360" w:lineRule="auto"/>
              <w:ind w:right="84" w:rightChars="40"/>
              <w:rPr>
                <w:rFonts w:ascii="宋体" w:hAnsi="宋体" w:cs="宋体"/>
              </w:rPr>
            </w:pPr>
          </w:p>
        </w:tc>
        <w:tc>
          <w:tcPr>
            <w:tcW w:w="1833" w:type="dxa"/>
          </w:tcPr>
          <w:p w14:paraId="4D9F07CB">
            <w:pPr>
              <w:autoSpaceDE w:val="0"/>
              <w:autoSpaceDN w:val="0"/>
              <w:adjustRightInd w:val="0"/>
              <w:spacing w:line="360" w:lineRule="auto"/>
              <w:ind w:right="84" w:rightChars="40"/>
              <w:jc w:val="center"/>
              <w:rPr>
                <w:rFonts w:ascii="宋体" w:hAnsi="宋体" w:cs="宋体"/>
              </w:rPr>
            </w:pPr>
          </w:p>
        </w:tc>
        <w:tc>
          <w:tcPr>
            <w:tcW w:w="1452" w:type="dxa"/>
          </w:tcPr>
          <w:p w14:paraId="2A04475A">
            <w:pPr>
              <w:autoSpaceDE w:val="0"/>
              <w:autoSpaceDN w:val="0"/>
              <w:adjustRightInd w:val="0"/>
              <w:spacing w:line="360" w:lineRule="auto"/>
              <w:ind w:right="84" w:rightChars="40"/>
              <w:jc w:val="center"/>
              <w:rPr>
                <w:rFonts w:ascii="宋体" w:hAnsi="宋体" w:cs="宋体"/>
              </w:rPr>
            </w:pPr>
          </w:p>
        </w:tc>
        <w:tc>
          <w:tcPr>
            <w:tcW w:w="1080" w:type="dxa"/>
            <w:vAlign w:val="center"/>
          </w:tcPr>
          <w:p w14:paraId="62073551">
            <w:pPr>
              <w:autoSpaceDE w:val="0"/>
              <w:autoSpaceDN w:val="0"/>
              <w:adjustRightInd w:val="0"/>
              <w:spacing w:line="360" w:lineRule="auto"/>
              <w:ind w:right="84" w:rightChars="40"/>
              <w:jc w:val="center"/>
              <w:rPr>
                <w:rFonts w:ascii="宋体" w:hAnsi="宋体" w:cs="宋体"/>
              </w:rPr>
            </w:pPr>
          </w:p>
        </w:tc>
      </w:tr>
      <w:tr w14:paraId="1C468F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97FE465">
            <w:pPr>
              <w:autoSpaceDE w:val="0"/>
              <w:autoSpaceDN w:val="0"/>
              <w:adjustRightInd w:val="0"/>
              <w:spacing w:line="360" w:lineRule="auto"/>
              <w:ind w:right="84" w:rightChars="40"/>
              <w:jc w:val="center"/>
              <w:rPr>
                <w:rFonts w:ascii="宋体" w:hAnsi="宋体" w:cs="宋体"/>
              </w:rPr>
            </w:pPr>
            <w:r>
              <w:rPr>
                <w:rFonts w:hint="eastAsia" w:ascii="宋体" w:hAnsi="宋体" w:cs="宋体"/>
              </w:rPr>
              <w:t>7</w:t>
            </w:r>
          </w:p>
        </w:tc>
        <w:tc>
          <w:tcPr>
            <w:tcW w:w="2556" w:type="dxa"/>
            <w:vAlign w:val="center"/>
          </w:tcPr>
          <w:p w14:paraId="7532D1D7">
            <w:pPr>
              <w:spacing w:line="360" w:lineRule="auto"/>
              <w:jc w:val="center"/>
              <w:rPr>
                <w:rFonts w:ascii="宋体" w:hAnsi="宋体" w:cs="宋体"/>
              </w:rPr>
            </w:pPr>
          </w:p>
        </w:tc>
        <w:tc>
          <w:tcPr>
            <w:tcW w:w="2214" w:type="dxa"/>
            <w:vAlign w:val="center"/>
          </w:tcPr>
          <w:p w14:paraId="4F05FAF2">
            <w:pPr>
              <w:autoSpaceDE w:val="0"/>
              <w:autoSpaceDN w:val="0"/>
              <w:adjustRightInd w:val="0"/>
              <w:spacing w:line="360" w:lineRule="auto"/>
              <w:ind w:right="84" w:rightChars="40"/>
              <w:rPr>
                <w:rFonts w:ascii="宋体" w:hAnsi="宋体" w:cs="宋体"/>
              </w:rPr>
            </w:pPr>
          </w:p>
        </w:tc>
        <w:tc>
          <w:tcPr>
            <w:tcW w:w="1833" w:type="dxa"/>
          </w:tcPr>
          <w:p w14:paraId="2A31AF59">
            <w:pPr>
              <w:autoSpaceDE w:val="0"/>
              <w:autoSpaceDN w:val="0"/>
              <w:adjustRightInd w:val="0"/>
              <w:spacing w:line="360" w:lineRule="auto"/>
              <w:ind w:right="84" w:rightChars="40"/>
              <w:jc w:val="center"/>
              <w:rPr>
                <w:rFonts w:ascii="宋体" w:hAnsi="宋体" w:cs="宋体"/>
              </w:rPr>
            </w:pPr>
          </w:p>
        </w:tc>
        <w:tc>
          <w:tcPr>
            <w:tcW w:w="1452" w:type="dxa"/>
          </w:tcPr>
          <w:p w14:paraId="63654922">
            <w:pPr>
              <w:autoSpaceDE w:val="0"/>
              <w:autoSpaceDN w:val="0"/>
              <w:adjustRightInd w:val="0"/>
              <w:spacing w:line="360" w:lineRule="auto"/>
              <w:ind w:right="84" w:rightChars="40"/>
              <w:jc w:val="center"/>
              <w:rPr>
                <w:rFonts w:ascii="宋体" w:hAnsi="宋体" w:cs="宋体"/>
              </w:rPr>
            </w:pPr>
          </w:p>
        </w:tc>
        <w:tc>
          <w:tcPr>
            <w:tcW w:w="1080" w:type="dxa"/>
            <w:vAlign w:val="center"/>
          </w:tcPr>
          <w:p w14:paraId="322076F4">
            <w:pPr>
              <w:autoSpaceDE w:val="0"/>
              <w:autoSpaceDN w:val="0"/>
              <w:adjustRightInd w:val="0"/>
              <w:spacing w:line="360" w:lineRule="auto"/>
              <w:ind w:right="84" w:rightChars="40"/>
              <w:jc w:val="center"/>
              <w:rPr>
                <w:rFonts w:ascii="宋体" w:hAnsi="宋体" w:cs="宋体"/>
              </w:rPr>
            </w:pPr>
          </w:p>
        </w:tc>
      </w:tr>
      <w:tr w14:paraId="157D9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415FADC">
            <w:pPr>
              <w:autoSpaceDE w:val="0"/>
              <w:autoSpaceDN w:val="0"/>
              <w:adjustRightInd w:val="0"/>
              <w:spacing w:line="360" w:lineRule="auto"/>
              <w:ind w:right="84" w:rightChars="40"/>
              <w:jc w:val="center"/>
              <w:rPr>
                <w:rFonts w:ascii="宋体" w:hAnsi="宋体" w:cs="宋体"/>
              </w:rPr>
            </w:pPr>
            <w:r>
              <w:rPr>
                <w:rFonts w:hint="eastAsia" w:ascii="宋体" w:hAnsi="宋体" w:cs="宋体"/>
              </w:rPr>
              <w:t>8</w:t>
            </w:r>
          </w:p>
        </w:tc>
        <w:tc>
          <w:tcPr>
            <w:tcW w:w="2556" w:type="dxa"/>
            <w:vAlign w:val="center"/>
          </w:tcPr>
          <w:p w14:paraId="39B78F50">
            <w:pPr>
              <w:spacing w:line="360" w:lineRule="auto"/>
              <w:jc w:val="center"/>
              <w:rPr>
                <w:rFonts w:ascii="宋体" w:hAnsi="宋体" w:cs="宋体"/>
              </w:rPr>
            </w:pPr>
          </w:p>
        </w:tc>
        <w:tc>
          <w:tcPr>
            <w:tcW w:w="2214" w:type="dxa"/>
            <w:vAlign w:val="center"/>
          </w:tcPr>
          <w:p w14:paraId="5146ADB7">
            <w:pPr>
              <w:autoSpaceDE w:val="0"/>
              <w:autoSpaceDN w:val="0"/>
              <w:adjustRightInd w:val="0"/>
              <w:spacing w:line="360" w:lineRule="auto"/>
              <w:ind w:right="84" w:rightChars="40"/>
              <w:rPr>
                <w:rFonts w:ascii="宋体" w:hAnsi="宋体" w:cs="宋体"/>
              </w:rPr>
            </w:pPr>
          </w:p>
        </w:tc>
        <w:tc>
          <w:tcPr>
            <w:tcW w:w="1833" w:type="dxa"/>
          </w:tcPr>
          <w:p w14:paraId="1E3EC641">
            <w:pPr>
              <w:autoSpaceDE w:val="0"/>
              <w:autoSpaceDN w:val="0"/>
              <w:adjustRightInd w:val="0"/>
              <w:spacing w:line="360" w:lineRule="auto"/>
              <w:ind w:right="84" w:rightChars="40"/>
              <w:jc w:val="center"/>
              <w:rPr>
                <w:rFonts w:ascii="宋体" w:hAnsi="宋体" w:cs="宋体"/>
              </w:rPr>
            </w:pPr>
          </w:p>
        </w:tc>
        <w:tc>
          <w:tcPr>
            <w:tcW w:w="1452" w:type="dxa"/>
          </w:tcPr>
          <w:p w14:paraId="7EEA8D07">
            <w:pPr>
              <w:autoSpaceDE w:val="0"/>
              <w:autoSpaceDN w:val="0"/>
              <w:adjustRightInd w:val="0"/>
              <w:spacing w:line="360" w:lineRule="auto"/>
              <w:ind w:right="84" w:rightChars="40"/>
              <w:jc w:val="center"/>
              <w:rPr>
                <w:rFonts w:ascii="宋体" w:hAnsi="宋体" w:cs="宋体"/>
              </w:rPr>
            </w:pPr>
          </w:p>
        </w:tc>
        <w:tc>
          <w:tcPr>
            <w:tcW w:w="1080" w:type="dxa"/>
            <w:vAlign w:val="center"/>
          </w:tcPr>
          <w:p w14:paraId="26FC0D4D">
            <w:pPr>
              <w:autoSpaceDE w:val="0"/>
              <w:autoSpaceDN w:val="0"/>
              <w:adjustRightInd w:val="0"/>
              <w:spacing w:line="360" w:lineRule="auto"/>
              <w:ind w:right="84" w:rightChars="40"/>
              <w:jc w:val="center"/>
              <w:rPr>
                <w:rFonts w:ascii="宋体" w:hAnsi="宋体" w:cs="宋体"/>
              </w:rPr>
            </w:pPr>
          </w:p>
        </w:tc>
      </w:tr>
      <w:tr w14:paraId="2C4208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710C86A">
            <w:pPr>
              <w:autoSpaceDE w:val="0"/>
              <w:autoSpaceDN w:val="0"/>
              <w:adjustRightInd w:val="0"/>
              <w:spacing w:line="360" w:lineRule="auto"/>
              <w:ind w:right="84" w:rightChars="40"/>
              <w:jc w:val="center"/>
              <w:rPr>
                <w:rFonts w:ascii="宋体" w:hAnsi="宋体" w:cs="宋体"/>
              </w:rPr>
            </w:pPr>
            <w:r>
              <w:rPr>
                <w:rFonts w:hint="eastAsia" w:ascii="宋体" w:hAnsi="宋体" w:cs="宋体"/>
              </w:rPr>
              <w:t>9</w:t>
            </w:r>
          </w:p>
        </w:tc>
        <w:tc>
          <w:tcPr>
            <w:tcW w:w="2556" w:type="dxa"/>
            <w:vAlign w:val="center"/>
          </w:tcPr>
          <w:p w14:paraId="51FD9AF9">
            <w:pPr>
              <w:spacing w:line="360" w:lineRule="auto"/>
              <w:jc w:val="center"/>
              <w:rPr>
                <w:rFonts w:ascii="宋体" w:hAnsi="宋体" w:cs="宋体"/>
              </w:rPr>
            </w:pPr>
          </w:p>
        </w:tc>
        <w:tc>
          <w:tcPr>
            <w:tcW w:w="2214" w:type="dxa"/>
            <w:vAlign w:val="center"/>
          </w:tcPr>
          <w:p w14:paraId="097F8155">
            <w:pPr>
              <w:autoSpaceDE w:val="0"/>
              <w:autoSpaceDN w:val="0"/>
              <w:adjustRightInd w:val="0"/>
              <w:spacing w:line="360" w:lineRule="auto"/>
              <w:ind w:right="84" w:rightChars="40"/>
              <w:rPr>
                <w:rFonts w:ascii="宋体" w:hAnsi="宋体" w:cs="宋体"/>
              </w:rPr>
            </w:pPr>
          </w:p>
        </w:tc>
        <w:tc>
          <w:tcPr>
            <w:tcW w:w="1833" w:type="dxa"/>
          </w:tcPr>
          <w:p w14:paraId="2D083DCA">
            <w:pPr>
              <w:autoSpaceDE w:val="0"/>
              <w:autoSpaceDN w:val="0"/>
              <w:adjustRightInd w:val="0"/>
              <w:spacing w:line="360" w:lineRule="auto"/>
              <w:ind w:right="84" w:rightChars="40"/>
              <w:jc w:val="center"/>
              <w:rPr>
                <w:rFonts w:ascii="宋体" w:hAnsi="宋体" w:cs="宋体"/>
              </w:rPr>
            </w:pPr>
          </w:p>
        </w:tc>
        <w:tc>
          <w:tcPr>
            <w:tcW w:w="1452" w:type="dxa"/>
          </w:tcPr>
          <w:p w14:paraId="52E13171">
            <w:pPr>
              <w:autoSpaceDE w:val="0"/>
              <w:autoSpaceDN w:val="0"/>
              <w:adjustRightInd w:val="0"/>
              <w:spacing w:line="360" w:lineRule="auto"/>
              <w:ind w:right="84" w:rightChars="40"/>
              <w:jc w:val="center"/>
              <w:rPr>
                <w:rFonts w:ascii="宋体" w:hAnsi="宋体" w:cs="宋体"/>
              </w:rPr>
            </w:pPr>
          </w:p>
        </w:tc>
        <w:tc>
          <w:tcPr>
            <w:tcW w:w="1080" w:type="dxa"/>
            <w:vAlign w:val="center"/>
          </w:tcPr>
          <w:p w14:paraId="54B400FC">
            <w:pPr>
              <w:autoSpaceDE w:val="0"/>
              <w:autoSpaceDN w:val="0"/>
              <w:adjustRightInd w:val="0"/>
              <w:spacing w:line="360" w:lineRule="auto"/>
              <w:ind w:right="84" w:rightChars="40"/>
              <w:jc w:val="center"/>
              <w:rPr>
                <w:rFonts w:ascii="宋体" w:hAnsi="宋体" w:cs="宋体"/>
              </w:rPr>
            </w:pPr>
          </w:p>
        </w:tc>
      </w:tr>
      <w:tr w14:paraId="54B4F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D2F484A">
            <w:pPr>
              <w:autoSpaceDE w:val="0"/>
              <w:autoSpaceDN w:val="0"/>
              <w:adjustRightInd w:val="0"/>
              <w:spacing w:line="360" w:lineRule="auto"/>
              <w:ind w:right="84" w:rightChars="40"/>
              <w:jc w:val="center"/>
              <w:rPr>
                <w:rFonts w:ascii="宋体" w:hAnsi="宋体" w:cs="宋体"/>
              </w:rPr>
            </w:pPr>
            <w:r>
              <w:rPr>
                <w:rFonts w:hint="eastAsia" w:ascii="宋体" w:hAnsi="宋体" w:cs="宋体"/>
              </w:rPr>
              <w:t>10</w:t>
            </w:r>
          </w:p>
        </w:tc>
        <w:tc>
          <w:tcPr>
            <w:tcW w:w="2556" w:type="dxa"/>
            <w:vAlign w:val="center"/>
          </w:tcPr>
          <w:p w14:paraId="0CBE24CC">
            <w:pPr>
              <w:tabs>
                <w:tab w:val="left" w:pos="985"/>
              </w:tabs>
              <w:spacing w:line="360" w:lineRule="auto"/>
              <w:ind w:right="84" w:rightChars="40"/>
              <w:jc w:val="center"/>
              <w:rPr>
                <w:rFonts w:ascii="宋体" w:hAnsi="宋体" w:cs="宋体"/>
              </w:rPr>
            </w:pPr>
          </w:p>
        </w:tc>
        <w:tc>
          <w:tcPr>
            <w:tcW w:w="2214" w:type="dxa"/>
            <w:vAlign w:val="center"/>
          </w:tcPr>
          <w:p w14:paraId="71D08AA4">
            <w:pPr>
              <w:autoSpaceDE w:val="0"/>
              <w:autoSpaceDN w:val="0"/>
              <w:adjustRightInd w:val="0"/>
              <w:spacing w:line="360" w:lineRule="auto"/>
              <w:ind w:right="84" w:rightChars="40"/>
              <w:rPr>
                <w:rFonts w:ascii="宋体" w:hAnsi="宋体" w:cs="宋体"/>
              </w:rPr>
            </w:pPr>
          </w:p>
        </w:tc>
        <w:tc>
          <w:tcPr>
            <w:tcW w:w="1833" w:type="dxa"/>
          </w:tcPr>
          <w:p w14:paraId="06EEF3B5">
            <w:pPr>
              <w:autoSpaceDE w:val="0"/>
              <w:autoSpaceDN w:val="0"/>
              <w:adjustRightInd w:val="0"/>
              <w:spacing w:line="360" w:lineRule="auto"/>
              <w:ind w:right="84" w:rightChars="40"/>
              <w:jc w:val="center"/>
              <w:rPr>
                <w:rFonts w:ascii="宋体" w:hAnsi="宋体" w:cs="宋体"/>
              </w:rPr>
            </w:pPr>
          </w:p>
        </w:tc>
        <w:tc>
          <w:tcPr>
            <w:tcW w:w="1452" w:type="dxa"/>
          </w:tcPr>
          <w:p w14:paraId="10A2B650">
            <w:pPr>
              <w:autoSpaceDE w:val="0"/>
              <w:autoSpaceDN w:val="0"/>
              <w:adjustRightInd w:val="0"/>
              <w:spacing w:line="360" w:lineRule="auto"/>
              <w:ind w:right="84" w:rightChars="40"/>
              <w:jc w:val="center"/>
              <w:rPr>
                <w:rFonts w:ascii="宋体" w:hAnsi="宋体" w:cs="宋体"/>
              </w:rPr>
            </w:pPr>
          </w:p>
        </w:tc>
        <w:tc>
          <w:tcPr>
            <w:tcW w:w="1080" w:type="dxa"/>
            <w:vAlign w:val="center"/>
          </w:tcPr>
          <w:p w14:paraId="77B8373F">
            <w:pPr>
              <w:autoSpaceDE w:val="0"/>
              <w:autoSpaceDN w:val="0"/>
              <w:adjustRightInd w:val="0"/>
              <w:spacing w:line="360" w:lineRule="auto"/>
              <w:ind w:right="84" w:rightChars="40"/>
              <w:jc w:val="center"/>
              <w:rPr>
                <w:rFonts w:ascii="宋体" w:hAnsi="宋体" w:cs="宋体"/>
              </w:rPr>
            </w:pPr>
          </w:p>
        </w:tc>
      </w:tr>
      <w:tr w14:paraId="4E3B5A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133D250">
            <w:pPr>
              <w:autoSpaceDE w:val="0"/>
              <w:autoSpaceDN w:val="0"/>
              <w:adjustRightInd w:val="0"/>
              <w:spacing w:line="360" w:lineRule="auto"/>
              <w:ind w:right="84" w:rightChars="40"/>
              <w:jc w:val="center"/>
              <w:rPr>
                <w:rFonts w:ascii="宋体" w:hAnsi="宋体" w:cs="宋体"/>
              </w:rPr>
            </w:pPr>
            <w:r>
              <w:rPr>
                <w:rFonts w:hint="eastAsia" w:ascii="宋体" w:hAnsi="宋体" w:cs="宋体"/>
              </w:rPr>
              <w:t>…</w:t>
            </w:r>
          </w:p>
        </w:tc>
        <w:tc>
          <w:tcPr>
            <w:tcW w:w="2556" w:type="dxa"/>
            <w:vAlign w:val="center"/>
          </w:tcPr>
          <w:p w14:paraId="1DF9A1CB">
            <w:pPr>
              <w:tabs>
                <w:tab w:val="left" w:pos="985"/>
              </w:tabs>
              <w:spacing w:line="360" w:lineRule="auto"/>
              <w:ind w:right="84" w:rightChars="40"/>
              <w:jc w:val="center"/>
              <w:rPr>
                <w:rFonts w:ascii="宋体" w:hAnsi="宋体" w:cs="宋体"/>
              </w:rPr>
            </w:pPr>
          </w:p>
        </w:tc>
        <w:tc>
          <w:tcPr>
            <w:tcW w:w="2214" w:type="dxa"/>
            <w:vAlign w:val="center"/>
          </w:tcPr>
          <w:p w14:paraId="7917C5C9">
            <w:pPr>
              <w:autoSpaceDE w:val="0"/>
              <w:autoSpaceDN w:val="0"/>
              <w:adjustRightInd w:val="0"/>
              <w:spacing w:line="360" w:lineRule="auto"/>
              <w:ind w:right="84" w:rightChars="40"/>
              <w:rPr>
                <w:rFonts w:ascii="宋体" w:hAnsi="宋体" w:cs="宋体"/>
              </w:rPr>
            </w:pPr>
          </w:p>
        </w:tc>
        <w:tc>
          <w:tcPr>
            <w:tcW w:w="1833" w:type="dxa"/>
          </w:tcPr>
          <w:p w14:paraId="2A8A3D49">
            <w:pPr>
              <w:autoSpaceDE w:val="0"/>
              <w:autoSpaceDN w:val="0"/>
              <w:adjustRightInd w:val="0"/>
              <w:spacing w:line="360" w:lineRule="auto"/>
              <w:ind w:right="84" w:rightChars="40"/>
              <w:jc w:val="center"/>
              <w:rPr>
                <w:rFonts w:ascii="宋体" w:hAnsi="宋体" w:cs="宋体"/>
              </w:rPr>
            </w:pPr>
          </w:p>
        </w:tc>
        <w:tc>
          <w:tcPr>
            <w:tcW w:w="1452" w:type="dxa"/>
          </w:tcPr>
          <w:p w14:paraId="056F8E02">
            <w:pPr>
              <w:autoSpaceDE w:val="0"/>
              <w:autoSpaceDN w:val="0"/>
              <w:adjustRightInd w:val="0"/>
              <w:spacing w:line="360" w:lineRule="auto"/>
              <w:ind w:right="84" w:rightChars="40"/>
              <w:jc w:val="center"/>
              <w:rPr>
                <w:rFonts w:ascii="宋体" w:hAnsi="宋体" w:cs="宋体"/>
              </w:rPr>
            </w:pPr>
          </w:p>
        </w:tc>
        <w:tc>
          <w:tcPr>
            <w:tcW w:w="1080" w:type="dxa"/>
            <w:vAlign w:val="center"/>
          </w:tcPr>
          <w:p w14:paraId="60597FE4">
            <w:pPr>
              <w:autoSpaceDE w:val="0"/>
              <w:autoSpaceDN w:val="0"/>
              <w:adjustRightInd w:val="0"/>
              <w:spacing w:line="360" w:lineRule="auto"/>
              <w:ind w:right="84" w:rightChars="40"/>
              <w:jc w:val="center"/>
              <w:rPr>
                <w:rFonts w:ascii="宋体" w:hAnsi="宋体" w:cs="宋体"/>
              </w:rPr>
            </w:pPr>
          </w:p>
        </w:tc>
      </w:tr>
    </w:tbl>
    <w:p w14:paraId="7B49F212">
      <w:pPr>
        <w:spacing w:line="360" w:lineRule="auto"/>
        <w:rPr>
          <w:rFonts w:ascii="宋体" w:hAnsi="宋体" w:cs="宋体"/>
          <w:szCs w:val="21"/>
        </w:rPr>
      </w:pPr>
      <w:r>
        <w:rPr>
          <w:rFonts w:hint="eastAsia" w:ascii="宋体" w:hAnsi="宋体" w:cs="宋体"/>
          <w:szCs w:val="21"/>
        </w:rPr>
        <w:t>备注：本表根据竞价文件采购需求，响应供应商须逐条详细响应并作出标注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w:t>
      </w:r>
      <w:r>
        <w:rPr>
          <w:rFonts w:hint="eastAsia" w:asciiTheme="minorEastAsia" w:hAnsiTheme="minorEastAsia"/>
          <w:b/>
          <w:bCs/>
          <w:sz w:val="24"/>
          <w:szCs w:val="32"/>
        </w:rPr>
        <w:t>若采购需求中未明确提供证明材料的，供应商需提供作出相关内容进行响应</w:t>
      </w:r>
      <w:r>
        <w:rPr>
          <w:rFonts w:hint="eastAsia" w:ascii="宋体" w:hAnsi="宋体" w:cs="宋体"/>
          <w:b/>
          <w:bCs/>
          <w:sz w:val="24"/>
        </w:rPr>
        <w:t>，</w:t>
      </w:r>
      <w:r>
        <w:rPr>
          <w:rFonts w:hint="eastAsia" w:ascii="宋体" w:hAnsi="宋体" w:cs="宋体"/>
          <w:szCs w:val="21"/>
        </w:rPr>
        <w:t>否则视相应技术参数响应为负偏离，供应商响应表中有缺漏或条款</w:t>
      </w:r>
      <w:r>
        <w:rPr>
          <w:rFonts w:hint="eastAsia" w:ascii="宋体" w:hAnsi="宋体" w:cs="宋体"/>
          <w:b/>
          <w:bCs/>
          <w:szCs w:val="21"/>
        </w:rPr>
        <w:t>负偏离，则资质审查不通过</w:t>
      </w:r>
      <w:r>
        <w:rPr>
          <w:rFonts w:hint="eastAsia" w:ascii="宋体" w:hAnsi="宋体" w:cs="宋体"/>
          <w:szCs w:val="21"/>
        </w:rPr>
        <w:t>。</w:t>
      </w:r>
    </w:p>
    <w:p w14:paraId="0B0588C3">
      <w:pPr>
        <w:spacing w:line="360" w:lineRule="auto"/>
        <w:ind w:left="3990" w:leftChars="1900" w:firstLine="1890" w:firstLineChars="900"/>
        <w:rPr>
          <w:rFonts w:ascii="宋体" w:hAnsi="宋体"/>
          <w:u w:val="single"/>
        </w:rPr>
      </w:pPr>
      <w:r>
        <w:rPr>
          <w:rFonts w:hint="eastAsia" w:ascii="宋体" w:hAnsi="宋体"/>
        </w:rPr>
        <w:t>竞价供应商名称（盖公章）：</w:t>
      </w:r>
      <w:r>
        <w:rPr>
          <w:rFonts w:hint="eastAsia" w:ascii="宋体" w:hAnsi="宋体"/>
          <w:u w:val="single"/>
        </w:rPr>
        <w:t xml:space="preserve">                             </w:t>
      </w:r>
    </w:p>
    <w:p w14:paraId="0D08F950">
      <w:pPr>
        <w:spacing w:line="360" w:lineRule="auto"/>
        <w:ind w:left="3990" w:leftChars="1900" w:firstLine="1890" w:firstLineChars="90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14:paraId="5B90A232">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62D2ED6">
      <w:pPr>
        <w:rPr>
          <w:rFonts w:ascii="宋体" w:hAnsi="宋体"/>
        </w:rPr>
      </w:pPr>
      <w:r>
        <w:rPr>
          <w:rFonts w:hint="eastAsia" w:ascii="宋体" w:hAnsi="宋体"/>
        </w:rPr>
        <w:br w:type="page"/>
      </w:r>
    </w:p>
    <w:p w14:paraId="2A0BA491">
      <w:pPr>
        <w:pStyle w:val="7"/>
        <w:spacing w:line="360" w:lineRule="auto"/>
        <w:jc w:val="center"/>
        <w:rPr>
          <w:rFonts w:ascii="宋体" w:hAnsi="宋体" w:cs="宋体"/>
          <w:b/>
          <w:bCs/>
          <w:sz w:val="32"/>
          <w:szCs w:val="32"/>
        </w:rPr>
      </w:pPr>
      <w:r>
        <w:rPr>
          <w:rFonts w:hint="eastAsia" w:ascii="宋体" w:hAnsi="宋体" w:cs="宋体"/>
          <w:b/>
          <w:bCs/>
          <w:sz w:val="32"/>
          <w:szCs w:val="32"/>
        </w:rPr>
        <w:t>投入项目服务人员表</w:t>
      </w:r>
    </w:p>
    <w:p w14:paraId="249F3B37">
      <w:pPr>
        <w:spacing w:line="360" w:lineRule="auto"/>
        <w:ind w:firstLine="210" w:firstLineChars="100"/>
        <w:rPr>
          <w:rFonts w:ascii="宋体" w:hAnsi="宋体" w:cs="宋体"/>
          <w:szCs w:val="21"/>
        </w:rPr>
      </w:pPr>
      <w:r>
        <w:rPr>
          <w:rFonts w:hint="eastAsia" w:ascii="宋体" w:hAnsi="宋体" w:cs="宋体"/>
        </w:rPr>
        <w:t>项目编号：</w:t>
      </w:r>
    </w:p>
    <w:p w14:paraId="4FFAC032">
      <w:pPr>
        <w:spacing w:line="360" w:lineRule="auto"/>
        <w:ind w:firstLine="210" w:firstLineChars="100"/>
        <w:rPr>
          <w:rFonts w:hint="eastAsia" w:ascii="宋体" w:hAnsi="宋体" w:eastAsia="宋体" w:cs="宋体"/>
          <w:lang w:eastAsia="zh-CN"/>
        </w:rPr>
      </w:pPr>
      <w:r>
        <w:rPr>
          <w:rFonts w:hint="eastAsia" w:ascii="宋体" w:hAnsi="宋体" w:cs="宋体"/>
          <w:szCs w:val="21"/>
        </w:rPr>
        <w:t>项目名称：</w:t>
      </w:r>
      <w:r>
        <w:rPr>
          <w:rFonts w:hint="eastAsia" w:ascii="宋体" w:hAnsi="宋体" w:cs="宋体"/>
          <w:lang w:eastAsia="zh-CN"/>
        </w:rPr>
        <w:t>广东省监狱中心医院2025年医用气体采购项目(重招)</w:t>
      </w:r>
    </w:p>
    <w:tbl>
      <w:tblPr>
        <w:tblStyle w:val="22"/>
        <w:tblW w:w="957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1260"/>
        <w:gridCol w:w="1080"/>
        <w:gridCol w:w="2612"/>
      </w:tblGrid>
      <w:tr w14:paraId="6A1F75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vAlign w:val="center"/>
          </w:tcPr>
          <w:p w14:paraId="65E9C715">
            <w:pPr>
              <w:spacing w:line="360" w:lineRule="auto"/>
              <w:jc w:val="center"/>
              <w:rPr>
                <w:rFonts w:ascii="宋体" w:hAnsi="宋体" w:cs="宋体"/>
              </w:rPr>
            </w:pPr>
            <w:r>
              <w:rPr>
                <w:rFonts w:hint="eastAsia" w:ascii="宋体" w:hAnsi="宋体" w:cs="宋体"/>
              </w:rPr>
              <w:t>序号</w:t>
            </w:r>
          </w:p>
        </w:tc>
        <w:tc>
          <w:tcPr>
            <w:tcW w:w="1433" w:type="dxa"/>
            <w:tcBorders>
              <w:top w:val="single" w:color="auto" w:sz="12" w:space="0"/>
              <w:bottom w:val="single" w:color="auto" w:sz="2" w:space="0"/>
            </w:tcBorders>
            <w:vAlign w:val="center"/>
          </w:tcPr>
          <w:p w14:paraId="7B557D4E">
            <w:pPr>
              <w:pStyle w:val="54"/>
              <w:keepNext w:val="0"/>
              <w:adjustRightInd/>
              <w:spacing w:before="0" w:after="0" w:line="360" w:lineRule="auto"/>
              <w:rPr>
                <w:rFonts w:ascii="宋体" w:hAnsi="宋体" w:cs="宋体"/>
                <w:spacing w:val="0"/>
                <w:kern w:val="2"/>
                <w:sz w:val="21"/>
                <w:szCs w:val="24"/>
              </w:rPr>
            </w:pPr>
            <w:r>
              <w:rPr>
                <w:rFonts w:hint="eastAsia" w:ascii="宋体" w:hAnsi="宋体" w:cs="宋体"/>
                <w:spacing w:val="0"/>
                <w:kern w:val="2"/>
                <w:sz w:val="21"/>
                <w:szCs w:val="24"/>
              </w:rPr>
              <w:t>姓名</w:t>
            </w:r>
          </w:p>
        </w:tc>
        <w:tc>
          <w:tcPr>
            <w:tcW w:w="835" w:type="dxa"/>
            <w:tcBorders>
              <w:top w:val="single" w:color="auto" w:sz="12" w:space="0"/>
              <w:bottom w:val="single" w:color="auto" w:sz="2" w:space="0"/>
            </w:tcBorders>
            <w:vAlign w:val="center"/>
          </w:tcPr>
          <w:p w14:paraId="5706CFA6">
            <w:pPr>
              <w:spacing w:line="360" w:lineRule="auto"/>
              <w:jc w:val="center"/>
              <w:rPr>
                <w:rFonts w:ascii="宋体" w:hAnsi="宋体" w:cs="宋体"/>
              </w:rPr>
            </w:pPr>
            <w:r>
              <w:rPr>
                <w:rFonts w:hint="eastAsia" w:ascii="宋体" w:hAnsi="宋体" w:cs="宋体"/>
              </w:rPr>
              <w:t>性别</w:t>
            </w:r>
          </w:p>
        </w:tc>
        <w:tc>
          <w:tcPr>
            <w:tcW w:w="834" w:type="dxa"/>
            <w:tcBorders>
              <w:top w:val="single" w:color="auto" w:sz="12" w:space="0"/>
              <w:bottom w:val="single" w:color="auto" w:sz="2" w:space="0"/>
            </w:tcBorders>
            <w:vAlign w:val="center"/>
          </w:tcPr>
          <w:p w14:paraId="4180E290">
            <w:pPr>
              <w:spacing w:line="360" w:lineRule="auto"/>
              <w:jc w:val="center"/>
              <w:rPr>
                <w:rFonts w:ascii="宋体" w:hAnsi="宋体" w:cs="宋体"/>
              </w:rPr>
            </w:pPr>
            <w:r>
              <w:rPr>
                <w:rFonts w:hint="eastAsia" w:ascii="宋体" w:hAnsi="宋体" w:cs="宋体"/>
              </w:rPr>
              <w:t>年龄</w:t>
            </w:r>
          </w:p>
        </w:tc>
        <w:tc>
          <w:tcPr>
            <w:tcW w:w="834" w:type="dxa"/>
            <w:tcBorders>
              <w:top w:val="single" w:color="auto" w:sz="12" w:space="0"/>
              <w:bottom w:val="single" w:color="auto" w:sz="2" w:space="0"/>
            </w:tcBorders>
            <w:vAlign w:val="center"/>
          </w:tcPr>
          <w:p w14:paraId="5D5ECACA">
            <w:pPr>
              <w:spacing w:line="360" w:lineRule="auto"/>
              <w:jc w:val="center"/>
              <w:rPr>
                <w:rFonts w:ascii="宋体" w:hAnsi="宋体" w:cs="宋体"/>
              </w:rPr>
            </w:pPr>
            <w:r>
              <w:rPr>
                <w:rFonts w:hint="eastAsia" w:ascii="宋体" w:hAnsi="宋体" w:cs="宋体"/>
              </w:rPr>
              <w:t>学历</w:t>
            </w:r>
          </w:p>
        </w:tc>
        <w:tc>
          <w:tcPr>
            <w:tcW w:w="1260" w:type="dxa"/>
            <w:tcBorders>
              <w:top w:val="single" w:color="auto" w:sz="12" w:space="0"/>
              <w:bottom w:val="single" w:color="auto" w:sz="2" w:space="0"/>
            </w:tcBorders>
            <w:vAlign w:val="center"/>
          </w:tcPr>
          <w:p w14:paraId="0BD073BF">
            <w:pPr>
              <w:spacing w:line="360" w:lineRule="auto"/>
              <w:jc w:val="center"/>
              <w:rPr>
                <w:rFonts w:ascii="宋体" w:hAnsi="宋体" w:cs="宋体"/>
              </w:rPr>
            </w:pPr>
            <w:r>
              <w:rPr>
                <w:rFonts w:hint="eastAsia" w:ascii="宋体" w:hAnsi="宋体" w:cs="宋体"/>
              </w:rPr>
              <w:t>专业</w:t>
            </w:r>
          </w:p>
        </w:tc>
        <w:tc>
          <w:tcPr>
            <w:tcW w:w="1080" w:type="dxa"/>
            <w:tcBorders>
              <w:top w:val="single" w:color="auto" w:sz="12" w:space="0"/>
              <w:bottom w:val="single" w:color="auto" w:sz="2" w:space="0"/>
            </w:tcBorders>
            <w:vAlign w:val="center"/>
          </w:tcPr>
          <w:p w14:paraId="2808CF04">
            <w:pPr>
              <w:spacing w:line="360" w:lineRule="auto"/>
              <w:jc w:val="center"/>
              <w:rPr>
                <w:rFonts w:ascii="宋体" w:hAnsi="宋体" w:cs="宋体"/>
              </w:rPr>
            </w:pPr>
            <w:r>
              <w:rPr>
                <w:rFonts w:hint="eastAsia" w:ascii="宋体" w:hAnsi="宋体" w:cs="宋体"/>
              </w:rPr>
              <w:t>经验年限</w:t>
            </w:r>
          </w:p>
        </w:tc>
        <w:tc>
          <w:tcPr>
            <w:tcW w:w="2612" w:type="dxa"/>
            <w:tcBorders>
              <w:top w:val="single" w:color="auto" w:sz="12" w:space="0"/>
              <w:bottom w:val="single" w:color="auto" w:sz="2" w:space="0"/>
            </w:tcBorders>
            <w:vAlign w:val="center"/>
          </w:tcPr>
          <w:p w14:paraId="004182FF">
            <w:pPr>
              <w:spacing w:line="360" w:lineRule="auto"/>
              <w:jc w:val="center"/>
              <w:rPr>
                <w:rFonts w:ascii="宋体" w:hAnsi="宋体" w:cs="宋体"/>
              </w:rPr>
            </w:pPr>
            <w:r>
              <w:rPr>
                <w:rFonts w:hint="eastAsia" w:ascii="宋体" w:hAnsi="宋体" w:cs="宋体"/>
              </w:rPr>
              <w:t>本项目拟担任职务及职责</w:t>
            </w:r>
          </w:p>
        </w:tc>
      </w:tr>
      <w:tr w14:paraId="3C694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vAlign w:val="center"/>
          </w:tcPr>
          <w:p w14:paraId="34E224E7">
            <w:pPr>
              <w:spacing w:line="360" w:lineRule="auto"/>
              <w:jc w:val="center"/>
              <w:rPr>
                <w:rFonts w:ascii="宋体" w:hAnsi="宋体" w:cs="宋体"/>
              </w:rPr>
            </w:pPr>
          </w:p>
        </w:tc>
        <w:tc>
          <w:tcPr>
            <w:tcW w:w="1433" w:type="dxa"/>
            <w:tcBorders>
              <w:top w:val="single" w:color="auto" w:sz="2" w:space="0"/>
            </w:tcBorders>
            <w:vAlign w:val="center"/>
          </w:tcPr>
          <w:p w14:paraId="0F77D85D">
            <w:pPr>
              <w:spacing w:line="360" w:lineRule="auto"/>
              <w:jc w:val="center"/>
              <w:rPr>
                <w:rFonts w:ascii="宋体" w:hAnsi="宋体" w:cs="宋体"/>
              </w:rPr>
            </w:pPr>
          </w:p>
        </w:tc>
        <w:tc>
          <w:tcPr>
            <w:tcW w:w="835" w:type="dxa"/>
            <w:tcBorders>
              <w:top w:val="single" w:color="auto" w:sz="2" w:space="0"/>
            </w:tcBorders>
            <w:vAlign w:val="center"/>
          </w:tcPr>
          <w:p w14:paraId="1B36758A">
            <w:pPr>
              <w:spacing w:line="360" w:lineRule="auto"/>
              <w:jc w:val="center"/>
              <w:rPr>
                <w:rFonts w:ascii="宋体" w:hAnsi="宋体" w:cs="宋体"/>
              </w:rPr>
            </w:pPr>
          </w:p>
        </w:tc>
        <w:tc>
          <w:tcPr>
            <w:tcW w:w="834" w:type="dxa"/>
            <w:tcBorders>
              <w:top w:val="single" w:color="auto" w:sz="2" w:space="0"/>
            </w:tcBorders>
            <w:vAlign w:val="center"/>
          </w:tcPr>
          <w:p w14:paraId="29DEF286">
            <w:pPr>
              <w:spacing w:line="360" w:lineRule="auto"/>
              <w:jc w:val="center"/>
              <w:rPr>
                <w:rFonts w:ascii="宋体" w:hAnsi="宋体" w:cs="宋体"/>
              </w:rPr>
            </w:pPr>
          </w:p>
        </w:tc>
        <w:tc>
          <w:tcPr>
            <w:tcW w:w="834" w:type="dxa"/>
            <w:tcBorders>
              <w:top w:val="single" w:color="auto" w:sz="2" w:space="0"/>
            </w:tcBorders>
            <w:vAlign w:val="center"/>
          </w:tcPr>
          <w:p w14:paraId="5EADF3D2">
            <w:pPr>
              <w:spacing w:line="360" w:lineRule="auto"/>
              <w:jc w:val="center"/>
              <w:rPr>
                <w:rFonts w:ascii="宋体" w:hAnsi="宋体" w:cs="宋体"/>
              </w:rPr>
            </w:pPr>
          </w:p>
        </w:tc>
        <w:tc>
          <w:tcPr>
            <w:tcW w:w="1260" w:type="dxa"/>
            <w:tcBorders>
              <w:top w:val="single" w:color="auto" w:sz="2" w:space="0"/>
            </w:tcBorders>
            <w:vAlign w:val="center"/>
          </w:tcPr>
          <w:p w14:paraId="44823FDF">
            <w:pPr>
              <w:spacing w:line="360" w:lineRule="auto"/>
              <w:jc w:val="center"/>
              <w:rPr>
                <w:rFonts w:ascii="宋体" w:hAnsi="宋体" w:cs="宋体"/>
              </w:rPr>
            </w:pPr>
          </w:p>
        </w:tc>
        <w:tc>
          <w:tcPr>
            <w:tcW w:w="1080" w:type="dxa"/>
            <w:tcBorders>
              <w:top w:val="single" w:color="auto" w:sz="2" w:space="0"/>
            </w:tcBorders>
            <w:vAlign w:val="center"/>
          </w:tcPr>
          <w:p w14:paraId="52C6A4AB">
            <w:pPr>
              <w:spacing w:line="360" w:lineRule="auto"/>
              <w:jc w:val="center"/>
              <w:rPr>
                <w:rFonts w:ascii="宋体" w:hAnsi="宋体" w:cs="宋体"/>
              </w:rPr>
            </w:pPr>
          </w:p>
        </w:tc>
        <w:tc>
          <w:tcPr>
            <w:tcW w:w="2612" w:type="dxa"/>
            <w:tcBorders>
              <w:top w:val="single" w:color="auto" w:sz="2" w:space="0"/>
            </w:tcBorders>
            <w:vAlign w:val="center"/>
          </w:tcPr>
          <w:p w14:paraId="4A4A33C5">
            <w:pPr>
              <w:spacing w:line="360" w:lineRule="auto"/>
              <w:jc w:val="center"/>
              <w:rPr>
                <w:rFonts w:ascii="宋体" w:hAnsi="宋体" w:cs="宋体"/>
              </w:rPr>
            </w:pPr>
          </w:p>
        </w:tc>
      </w:tr>
      <w:tr w14:paraId="21F823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4EE2835A">
            <w:pPr>
              <w:spacing w:line="360" w:lineRule="auto"/>
              <w:jc w:val="center"/>
              <w:rPr>
                <w:rFonts w:ascii="宋体" w:hAnsi="宋体" w:cs="宋体"/>
              </w:rPr>
            </w:pPr>
          </w:p>
        </w:tc>
        <w:tc>
          <w:tcPr>
            <w:tcW w:w="1433" w:type="dxa"/>
            <w:vAlign w:val="center"/>
          </w:tcPr>
          <w:p w14:paraId="0A8ECA8B">
            <w:pPr>
              <w:spacing w:line="360" w:lineRule="auto"/>
              <w:jc w:val="center"/>
              <w:rPr>
                <w:rFonts w:ascii="宋体" w:hAnsi="宋体" w:cs="宋体"/>
              </w:rPr>
            </w:pPr>
          </w:p>
        </w:tc>
        <w:tc>
          <w:tcPr>
            <w:tcW w:w="835" w:type="dxa"/>
            <w:vAlign w:val="center"/>
          </w:tcPr>
          <w:p w14:paraId="763AD47A">
            <w:pPr>
              <w:spacing w:line="360" w:lineRule="auto"/>
              <w:jc w:val="center"/>
              <w:rPr>
                <w:rFonts w:ascii="宋体" w:hAnsi="宋体" w:cs="宋体"/>
              </w:rPr>
            </w:pPr>
          </w:p>
        </w:tc>
        <w:tc>
          <w:tcPr>
            <w:tcW w:w="834" w:type="dxa"/>
            <w:vAlign w:val="center"/>
          </w:tcPr>
          <w:p w14:paraId="746F30FC">
            <w:pPr>
              <w:spacing w:line="360" w:lineRule="auto"/>
              <w:jc w:val="center"/>
              <w:rPr>
                <w:rFonts w:ascii="宋体" w:hAnsi="宋体" w:cs="宋体"/>
              </w:rPr>
            </w:pPr>
          </w:p>
        </w:tc>
        <w:tc>
          <w:tcPr>
            <w:tcW w:w="834" w:type="dxa"/>
            <w:vAlign w:val="center"/>
          </w:tcPr>
          <w:p w14:paraId="7E1E3634">
            <w:pPr>
              <w:spacing w:line="360" w:lineRule="auto"/>
              <w:jc w:val="center"/>
              <w:rPr>
                <w:rFonts w:ascii="宋体" w:hAnsi="宋体" w:cs="宋体"/>
              </w:rPr>
            </w:pPr>
          </w:p>
        </w:tc>
        <w:tc>
          <w:tcPr>
            <w:tcW w:w="1260" w:type="dxa"/>
            <w:vAlign w:val="center"/>
          </w:tcPr>
          <w:p w14:paraId="72FECEC6">
            <w:pPr>
              <w:spacing w:line="360" w:lineRule="auto"/>
              <w:jc w:val="center"/>
              <w:rPr>
                <w:rFonts w:ascii="宋体" w:hAnsi="宋体" w:cs="宋体"/>
              </w:rPr>
            </w:pPr>
          </w:p>
        </w:tc>
        <w:tc>
          <w:tcPr>
            <w:tcW w:w="1080" w:type="dxa"/>
            <w:vAlign w:val="center"/>
          </w:tcPr>
          <w:p w14:paraId="454FE821">
            <w:pPr>
              <w:spacing w:line="360" w:lineRule="auto"/>
              <w:jc w:val="center"/>
              <w:rPr>
                <w:rFonts w:ascii="宋体" w:hAnsi="宋体" w:cs="宋体"/>
              </w:rPr>
            </w:pPr>
          </w:p>
        </w:tc>
        <w:tc>
          <w:tcPr>
            <w:tcW w:w="2612" w:type="dxa"/>
            <w:vAlign w:val="center"/>
          </w:tcPr>
          <w:p w14:paraId="4CEC03D1">
            <w:pPr>
              <w:spacing w:line="360" w:lineRule="auto"/>
              <w:jc w:val="center"/>
              <w:rPr>
                <w:rFonts w:ascii="宋体" w:hAnsi="宋体" w:cs="宋体"/>
              </w:rPr>
            </w:pPr>
          </w:p>
        </w:tc>
      </w:tr>
      <w:tr w14:paraId="68EE2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52ACF7CF">
            <w:pPr>
              <w:spacing w:line="360" w:lineRule="auto"/>
              <w:jc w:val="center"/>
              <w:rPr>
                <w:rFonts w:ascii="宋体" w:hAnsi="宋体" w:cs="宋体"/>
              </w:rPr>
            </w:pPr>
          </w:p>
        </w:tc>
        <w:tc>
          <w:tcPr>
            <w:tcW w:w="1433" w:type="dxa"/>
            <w:vAlign w:val="center"/>
          </w:tcPr>
          <w:p w14:paraId="1A6CD6E3">
            <w:pPr>
              <w:spacing w:line="360" w:lineRule="auto"/>
              <w:jc w:val="center"/>
              <w:rPr>
                <w:rFonts w:ascii="宋体" w:hAnsi="宋体" w:cs="宋体"/>
              </w:rPr>
            </w:pPr>
          </w:p>
        </w:tc>
        <w:tc>
          <w:tcPr>
            <w:tcW w:w="835" w:type="dxa"/>
            <w:vAlign w:val="center"/>
          </w:tcPr>
          <w:p w14:paraId="4CAAA662">
            <w:pPr>
              <w:spacing w:line="360" w:lineRule="auto"/>
              <w:jc w:val="center"/>
              <w:rPr>
                <w:rFonts w:ascii="宋体" w:hAnsi="宋体" w:cs="宋体"/>
              </w:rPr>
            </w:pPr>
          </w:p>
        </w:tc>
        <w:tc>
          <w:tcPr>
            <w:tcW w:w="834" w:type="dxa"/>
            <w:vAlign w:val="center"/>
          </w:tcPr>
          <w:p w14:paraId="7A59BA5E">
            <w:pPr>
              <w:spacing w:line="360" w:lineRule="auto"/>
              <w:jc w:val="center"/>
              <w:rPr>
                <w:rFonts w:ascii="宋体" w:hAnsi="宋体" w:cs="宋体"/>
              </w:rPr>
            </w:pPr>
          </w:p>
        </w:tc>
        <w:tc>
          <w:tcPr>
            <w:tcW w:w="834" w:type="dxa"/>
            <w:vAlign w:val="center"/>
          </w:tcPr>
          <w:p w14:paraId="5AAF51A4">
            <w:pPr>
              <w:spacing w:line="360" w:lineRule="auto"/>
              <w:jc w:val="center"/>
              <w:rPr>
                <w:rFonts w:ascii="宋体" w:hAnsi="宋体" w:cs="宋体"/>
              </w:rPr>
            </w:pPr>
          </w:p>
        </w:tc>
        <w:tc>
          <w:tcPr>
            <w:tcW w:w="1260" w:type="dxa"/>
            <w:vAlign w:val="center"/>
          </w:tcPr>
          <w:p w14:paraId="1BFF298D">
            <w:pPr>
              <w:spacing w:line="360" w:lineRule="auto"/>
              <w:jc w:val="center"/>
              <w:rPr>
                <w:rFonts w:ascii="宋体" w:hAnsi="宋体" w:cs="宋体"/>
              </w:rPr>
            </w:pPr>
          </w:p>
        </w:tc>
        <w:tc>
          <w:tcPr>
            <w:tcW w:w="1080" w:type="dxa"/>
            <w:vAlign w:val="center"/>
          </w:tcPr>
          <w:p w14:paraId="563981EF">
            <w:pPr>
              <w:spacing w:line="360" w:lineRule="auto"/>
              <w:jc w:val="center"/>
              <w:rPr>
                <w:rFonts w:ascii="宋体" w:hAnsi="宋体" w:cs="宋体"/>
              </w:rPr>
            </w:pPr>
          </w:p>
        </w:tc>
        <w:tc>
          <w:tcPr>
            <w:tcW w:w="2612" w:type="dxa"/>
            <w:vAlign w:val="center"/>
          </w:tcPr>
          <w:p w14:paraId="61605F8B">
            <w:pPr>
              <w:spacing w:line="360" w:lineRule="auto"/>
              <w:jc w:val="center"/>
              <w:rPr>
                <w:rFonts w:ascii="宋体" w:hAnsi="宋体" w:cs="宋体"/>
              </w:rPr>
            </w:pPr>
          </w:p>
        </w:tc>
      </w:tr>
      <w:tr w14:paraId="3AC288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12F9002D">
            <w:pPr>
              <w:spacing w:line="360" w:lineRule="auto"/>
              <w:jc w:val="center"/>
              <w:rPr>
                <w:rFonts w:ascii="宋体" w:hAnsi="宋体" w:cs="宋体"/>
              </w:rPr>
            </w:pPr>
          </w:p>
        </w:tc>
        <w:tc>
          <w:tcPr>
            <w:tcW w:w="1433" w:type="dxa"/>
            <w:vAlign w:val="center"/>
          </w:tcPr>
          <w:p w14:paraId="00F984CC">
            <w:pPr>
              <w:spacing w:line="360" w:lineRule="auto"/>
              <w:jc w:val="center"/>
              <w:rPr>
                <w:rFonts w:ascii="宋体" w:hAnsi="宋体" w:cs="宋体"/>
              </w:rPr>
            </w:pPr>
          </w:p>
        </w:tc>
        <w:tc>
          <w:tcPr>
            <w:tcW w:w="835" w:type="dxa"/>
            <w:vAlign w:val="center"/>
          </w:tcPr>
          <w:p w14:paraId="1DB68EC8">
            <w:pPr>
              <w:spacing w:line="360" w:lineRule="auto"/>
              <w:jc w:val="center"/>
              <w:rPr>
                <w:rFonts w:ascii="宋体" w:hAnsi="宋体" w:cs="宋体"/>
              </w:rPr>
            </w:pPr>
          </w:p>
        </w:tc>
        <w:tc>
          <w:tcPr>
            <w:tcW w:w="834" w:type="dxa"/>
            <w:vAlign w:val="center"/>
          </w:tcPr>
          <w:p w14:paraId="3F33CCBD">
            <w:pPr>
              <w:spacing w:line="360" w:lineRule="auto"/>
              <w:jc w:val="center"/>
              <w:rPr>
                <w:rFonts w:ascii="宋体" w:hAnsi="宋体" w:cs="宋体"/>
              </w:rPr>
            </w:pPr>
          </w:p>
        </w:tc>
        <w:tc>
          <w:tcPr>
            <w:tcW w:w="834" w:type="dxa"/>
            <w:vAlign w:val="center"/>
          </w:tcPr>
          <w:p w14:paraId="0335B5B5">
            <w:pPr>
              <w:spacing w:line="360" w:lineRule="auto"/>
              <w:jc w:val="center"/>
              <w:rPr>
                <w:rFonts w:ascii="宋体" w:hAnsi="宋体" w:cs="宋体"/>
              </w:rPr>
            </w:pPr>
          </w:p>
        </w:tc>
        <w:tc>
          <w:tcPr>
            <w:tcW w:w="1260" w:type="dxa"/>
            <w:vAlign w:val="center"/>
          </w:tcPr>
          <w:p w14:paraId="16B5CF65">
            <w:pPr>
              <w:spacing w:line="360" w:lineRule="auto"/>
              <w:jc w:val="center"/>
              <w:rPr>
                <w:rFonts w:ascii="宋体" w:hAnsi="宋体" w:cs="宋体"/>
              </w:rPr>
            </w:pPr>
          </w:p>
        </w:tc>
        <w:tc>
          <w:tcPr>
            <w:tcW w:w="1080" w:type="dxa"/>
            <w:vAlign w:val="center"/>
          </w:tcPr>
          <w:p w14:paraId="68809FDE">
            <w:pPr>
              <w:spacing w:line="360" w:lineRule="auto"/>
              <w:jc w:val="center"/>
              <w:rPr>
                <w:rFonts w:ascii="宋体" w:hAnsi="宋体" w:cs="宋体"/>
              </w:rPr>
            </w:pPr>
          </w:p>
        </w:tc>
        <w:tc>
          <w:tcPr>
            <w:tcW w:w="2612" w:type="dxa"/>
            <w:vAlign w:val="center"/>
          </w:tcPr>
          <w:p w14:paraId="305D0BC9">
            <w:pPr>
              <w:spacing w:line="360" w:lineRule="auto"/>
              <w:jc w:val="center"/>
              <w:rPr>
                <w:rFonts w:ascii="宋体" w:hAnsi="宋体" w:cs="宋体"/>
              </w:rPr>
            </w:pPr>
          </w:p>
        </w:tc>
      </w:tr>
      <w:tr w14:paraId="433114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78D9C891">
            <w:pPr>
              <w:spacing w:line="360" w:lineRule="auto"/>
              <w:jc w:val="center"/>
              <w:rPr>
                <w:rFonts w:ascii="宋体" w:hAnsi="宋体" w:cs="宋体"/>
              </w:rPr>
            </w:pPr>
          </w:p>
        </w:tc>
        <w:tc>
          <w:tcPr>
            <w:tcW w:w="1433" w:type="dxa"/>
            <w:vAlign w:val="center"/>
          </w:tcPr>
          <w:p w14:paraId="78FB7103">
            <w:pPr>
              <w:spacing w:line="360" w:lineRule="auto"/>
              <w:jc w:val="center"/>
              <w:rPr>
                <w:rFonts w:ascii="宋体" w:hAnsi="宋体" w:cs="宋体"/>
              </w:rPr>
            </w:pPr>
          </w:p>
        </w:tc>
        <w:tc>
          <w:tcPr>
            <w:tcW w:w="835" w:type="dxa"/>
            <w:vAlign w:val="center"/>
          </w:tcPr>
          <w:p w14:paraId="19DE069A">
            <w:pPr>
              <w:spacing w:line="360" w:lineRule="auto"/>
              <w:jc w:val="center"/>
              <w:rPr>
                <w:rFonts w:ascii="宋体" w:hAnsi="宋体" w:cs="宋体"/>
              </w:rPr>
            </w:pPr>
          </w:p>
        </w:tc>
        <w:tc>
          <w:tcPr>
            <w:tcW w:w="834" w:type="dxa"/>
            <w:vAlign w:val="center"/>
          </w:tcPr>
          <w:p w14:paraId="7022299F">
            <w:pPr>
              <w:spacing w:line="360" w:lineRule="auto"/>
              <w:jc w:val="center"/>
              <w:rPr>
                <w:rFonts w:ascii="宋体" w:hAnsi="宋体" w:cs="宋体"/>
              </w:rPr>
            </w:pPr>
          </w:p>
        </w:tc>
        <w:tc>
          <w:tcPr>
            <w:tcW w:w="834" w:type="dxa"/>
            <w:vAlign w:val="center"/>
          </w:tcPr>
          <w:p w14:paraId="102C4EF6">
            <w:pPr>
              <w:spacing w:line="360" w:lineRule="auto"/>
              <w:jc w:val="center"/>
              <w:rPr>
                <w:rFonts w:ascii="宋体" w:hAnsi="宋体" w:cs="宋体"/>
              </w:rPr>
            </w:pPr>
          </w:p>
        </w:tc>
        <w:tc>
          <w:tcPr>
            <w:tcW w:w="1260" w:type="dxa"/>
            <w:vAlign w:val="center"/>
          </w:tcPr>
          <w:p w14:paraId="09EA4831">
            <w:pPr>
              <w:spacing w:line="360" w:lineRule="auto"/>
              <w:jc w:val="center"/>
              <w:rPr>
                <w:rFonts w:ascii="宋体" w:hAnsi="宋体" w:cs="宋体"/>
              </w:rPr>
            </w:pPr>
          </w:p>
        </w:tc>
        <w:tc>
          <w:tcPr>
            <w:tcW w:w="1080" w:type="dxa"/>
            <w:vAlign w:val="center"/>
          </w:tcPr>
          <w:p w14:paraId="0C8EDE94">
            <w:pPr>
              <w:spacing w:line="360" w:lineRule="auto"/>
              <w:jc w:val="center"/>
              <w:rPr>
                <w:rFonts w:ascii="宋体" w:hAnsi="宋体" w:cs="宋体"/>
              </w:rPr>
            </w:pPr>
          </w:p>
        </w:tc>
        <w:tc>
          <w:tcPr>
            <w:tcW w:w="2612" w:type="dxa"/>
            <w:vAlign w:val="center"/>
          </w:tcPr>
          <w:p w14:paraId="51B7BCA1">
            <w:pPr>
              <w:spacing w:line="360" w:lineRule="auto"/>
              <w:jc w:val="center"/>
              <w:rPr>
                <w:rFonts w:ascii="宋体" w:hAnsi="宋体" w:cs="宋体"/>
              </w:rPr>
            </w:pPr>
          </w:p>
        </w:tc>
      </w:tr>
      <w:tr w14:paraId="2F3357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4746D274">
            <w:pPr>
              <w:spacing w:line="360" w:lineRule="auto"/>
              <w:jc w:val="center"/>
              <w:rPr>
                <w:rFonts w:ascii="宋体" w:hAnsi="宋体" w:cs="宋体"/>
              </w:rPr>
            </w:pPr>
          </w:p>
        </w:tc>
        <w:tc>
          <w:tcPr>
            <w:tcW w:w="1433" w:type="dxa"/>
            <w:vAlign w:val="center"/>
          </w:tcPr>
          <w:p w14:paraId="44136532">
            <w:pPr>
              <w:spacing w:line="360" w:lineRule="auto"/>
              <w:jc w:val="center"/>
              <w:rPr>
                <w:rFonts w:ascii="宋体" w:hAnsi="宋体" w:cs="宋体"/>
              </w:rPr>
            </w:pPr>
          </w:p>
        </w:tc>
        <w:tc>
          <w:tcPr>
            <w:tcW w:w="835" w:type="dxa"/>
            <w:vAlign w:val="center"/>
          </w:tcPr>
          <w:p w14:paraId="6FF6A9F1">
            <w:pPr>
              <w:spacing w:line="360" w:lineRule="auto"/>
              <w:jc w:val="center"/>
              <w:rPr>
                <w:rFonts w:ascii="宋体" w:hAnsi="宋体" w:cs="宋体"/>
              </w:rPr>
            </w:pPr>
          </w:p>
        </w:tc>
        <w:tc>
          <w:tcPr>
            <w:tcW w:w="834" w:type="dxa"/>
            <w:vAlign w:val="center"/>
          </w:tcPr>
          <w:p w14:paraId="1DF3AED1">
            <w:pPr>
              <w:spacing w:line="360" w:lineRule="auto"/>
              <w:jc w:val="center"/>
              <w:rPr>
                <w:rFonts w:ascii="宋体" w:hAnsi="宋体" w:cs="宋体"/>
              </w:rPr>
            </w:pPr>
          </w:p>
        </w:tc>
        <w:tc>
          <w:tcPr>
            <w:tcW w:w="834" w:type="dxa"/>
            <w:vAlign w:val="center"/>
          </w:tcPr>
          <w:p w14:paraId="077DDA41">
            <w:pPr>
              <w:spacing w:line="360" w:lineRule="auto"/>
              <w:jc w:val="center"/>
              <w:rPr>
                <w:rFonts w:ascii="宋体" w:hAnsi="宋体" w:cs="宋体"/>
              </w:rPr>
            </w:pPr>
          </w:p>
        </w:tc>
        <w:tc>
          <w:tcPr>
            <w:tcW w:w="1260" w:type="dxa"/>
            <w:vAlign w:val="center"/>
          </w:tcPr>
          <w:p w14:paraId="11C0340F">
            <w:pPr>
              <w:spacing w:line="360" w:lineRule="auto"/>
              <w:jc w:val="center"/>
              <w:rPr>
                <w:rFonts w:ascii="宋体" w:hAnsi="宋体" w:cs="宋体"/>
              </w:rPr>
            </w:pPr>
          </w:p>
        </w:tc>
        <w:tc>
          <w:tcPr>
            <w:tcW w:w="1080" w:type="dxa"/>
            <w:vAlign w:val="center"/>
          </w:tcPr>
          <w:p w14:paraId="7FF92088">
            <w:pPr>
              <w:spacing w:line="360" w:lineRule="auto"/>
              <w:jc w:val="center"/>
              <w:rPr>
                <w:rFonts w:ascii="宋体" w:hAnsi="宋体" w:cs="宋体"/>
              </w:rPr>
            </w:pPr>
          </w:p>
        </w:tc>
        <w:tc>
          <w:tcPr>
            <w:tcW w:w="2612" w:type="dxa"/>
            <w:vAlign w:val="center"/>
          </w:tcPr>
          <w:p w14:paraId="159A0B2D">
            <w:pPr>
              <w:spacing w:line="360" w:lineRule="auto"/>
              <w:jc w:val="center"/>
              <w:rPr>
                <w:rFonts w:ascii="宋体" w:hAnsi="宋体" w:cs="宋体"/>
              </w:rPr>
            </w:pPr>
          </w:p>
        </w:tc>
      </w:tr>
      <w:tr w14:paraId="7BC1C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58F7F89A">
            <w:pPr>
              <w:spacing w:line="360" w:lineRule="auto"/>
              <w:jc w:val="center"/>
              <w:rPr>
                <w:rFonts w:ascii="宋体" w:hAnsi="宋体" w:cs="宋体"/>
              </w:rPr>
            </w:pPr>
          </w:p>
        </w:tc>
        <w:tc>
          <w:tcPr>
            <w:tcW w:w="1433" w:type="dxa"/>
            <w:vAlign w:val="center"/>
          </w:tcPr>
          <w:p w14:paraId="6B7DD3C0">
            <w:pPr>
              <w:spacing w:line="360" w:lineRule="auto"/>
              <w:jc w:val="center"/>
              <w:rPr>
                <w:rFonts w:ascii="宋体" w:hAnsi="宋体" w:cs="宋体"/>
              </w:rPr>
            </w:pPr>
          </w:p>
        </w:tc>
        <w:tc>
          <w:tcPr>
            <w:tcW w:w="835" w:type="dxa"/>
            <w:vAlign w:val="center"/>
          </w:tcPr>
          <w:p w14:paraId="6B37307D">
            <w:pPr>
              <w:spacing w:line="360" w:lineRule="auto"/>
              <w:jc w:val="center"/>
              <w:rPr>
                <w:rFonts w:ascii="宋体" w:hAnsi="宋体" w:cs="宋体"/>
              </w:rPr>
            </w:pPr>
          </w:p>
        </w:tc>
        <w:tc>
          <w:tcPr>
            <w:tcW w:w="834" w:type="dxa"/>
            <w:vAlign w:val="center"/>
          </w:tcPr>
          <w:p w14:paraId="1EAFAFDD">
            <w:pPr>
              <w:spacing w:line="360" w:lineRule="auto"/>
              <w:jc w:val="center"/>
              <w:rPr>
                <w:rFonts w:ascii="宋体" w:hAnsi="宋体" w:cs="宋体"/>
              </w:rPr>
            </w:pPr>
          </w:p>
        </w:tc>
        <w:tc>
          <w:tcPr>
            <w:tcW w:w="834" w:type="dxa"/>
            <w:vAlign w:val="center"/>
          </w:tcPr>
          <w:p w14:paraId="33279C0B">
            <w:pPr>
              <w:spacing w:line="360" w:lineRule="auto"/>
              <w:jc w:val="center"/>
              <w:rPr>
                <w:rFonts w:ascii="宋体" w:hAnsi="宋体" w:cs="宋体"/>
              </w:rPr>
            </w:pPr>
          </w:p>
        </w:tc>
        <w:tc>
          <w:tcPr>
            <w:tcW w:w="1260" w:type="dxa"/>
            <w:vAlign w:val="center"/>
          </w:tcPr>
          <w:p w14:paraId="1BE98DB7">
            <w:pPr>
              <w:spacing w:line="360" w:lineRule="auto"/>
              <w:jc w:val="center"/>
              <w:rPr>
                <w:rFonts w:ascii="宋体" w:hAnsi="宋体" w:cs="宋体"/>
              </w:rPr>
            </w:pPr>
          </w:p>
        </w:tc>
        <w:tc>
          <w:tcPr>
            <w:tcW w:w="1080" w:type="dxa"/>
            <w:vAlign w:val="center"/>
          </w:tcPr>
          <w:p w14:paraId="36F1FC31">
            <w:pPr>
              <w:spacing w:line="360" w:lineRule="auto"/>
              <w:jc w:val="center"/>
              <w:rPr>
                <w:rFonts w:ascii="宋体" w:hAnsi="宋体" w:cs="宋体"/>
              </w:rPr>
            </w:pPr>
          </w:p>
        </w:tc>
        <w:tc>
          <w:tcPr>
            <w:tcW w:w="2612" w:type="dxa"/>
            <w:vAlign w:val="center"/>
          </w:tcPr>
          <w:p w14:paraId="32D9166B">
            <w:pPr>
              <w:spacing w:line="360" w:lineRule="auto"/>
              <w:jc w:val="center"/>
              <w:rPr>
                <w:rFonts w:ascii="宋体" w:hAnsi="宋体" w:cs="宋体"/>
              </w:rPr>
            </w:pPr>
          </w:p>
        </w:tc>
      </w:tr>
      <w:tr w14:paraId="1CC0B3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7296D080">
            <w:pPr>
              <w:spacing w:line="360" w:lineRule="auto"/>
              <w:jc w:val="center"/>
              <w:rPr>
                <w:rFonts w:ascii="宋体" w:hAnsi="宋体" w:cs="宋体"/>
              </w:rPr>
            </w:pPr>
          </w:p>
        </w:tc>
        <w:tc>
          <w:tcPr>
            <w:tcW w:w="1433" w:type="dxa"/>
            <w:vAlign w:val="center"/>
          </w:tcPr>
          <w:p w14:paraId="02579968">
            <w:pPr>
              <w:spacing w:line="360" w:lineRule="auto"/>
              <w:jc w:val="center"/>
              <w:rPr>
                <w:rFonts w:ascii="宋体" w:hAnsi="宋体" w:cs="宋体"/>
              </w:rPr>
            </w:pPr>
          </w:p>
        </w:tc>
        <w:tc>
          <w:tcPr>
            <w:tcW w:w="835" w:type="dxa"/>
            <w:vAlign w:val="center"/>
          </w:tcPr>
          <w:p w14:paraId="6C1C7A6A">
            <w:pPr>
              <w:spacing w:line="360" w:lineRule="auto"/>
              <w:jc w:val="center"/>
              <w:rPr>
                <w:rFonts w:ascii="宋体" w:hAnsi="宋体" w:cs="宋体"/>
              </w:rPr>
            </w:pPr>
          </w:p>
        </w:tc>
        <w:tc>
          <w:tcPr>
            <w:tcW w:w="834" w:type="dxa"/>
            <w:vAlign w:val="center"/>
          </w:tcPr>
          <w:p w14:paraId="6513176E">
            <w:pPr>
              <w:spacing w:line="360" w:lineRule="auto"/>
              <w:jc w:val="center"/>
              <w:rPr>
                <w:rFonts w:ascii="宋体" w:hAnsi="宋体" w:cs="宋体"/>
              </w:rPr>
            </w:pPr>
          </w:p>
        </w:tc>
        <w:tc>
          <w:tcPr>
            <w:tcW w:w="834" w:type="dxa"/>
            <w:vAlign w:val="center"/>
          </w:tcPr>
          <w:p w14:paraId="45B40493">
            <w:pPr>
              <w:spacing w:line="360" w:lineRule="auto"/>
              <w:jc w:val="center"/>
              <w:rPr>
                <w:rFonts w:ascii="宋体" w:hAnsi="宋体" w:cs="宋体"/>
              </w:rPr>
            </w:pPr>
          </w:p>
        </w:tc>
        <w:tc>
          <w:tcPr>
            <w:tcW w:w="1260" w:type="dxa"/>
            <w:vAlign w:val="center"/>
          </w:tcPr>
          <w:p w14:paraId="0875AD3F">
            <w:pPr>
              <w:spacing w:line="360" w:lineRule="auto"/>
              <w:jc w:val="center"/>
              <w:rPr>
                <w:rFonts w:ascii="宋体" w:hAnsi="宋体" w:cs="宋体"/>
              </w:rPr>
            </w:pPr>
          </w:p>
        </w:tc>
        <w:tc>
          <w:tcPr>
            <w:tcW w:w="1080" w:type="dxa"/>
            <w:vAlign w:val="center"/>
          </w:tcPr>
          <w:p w14:paraId="0C0CDC5A">
            <w:pPr>
              <w:spacing w:line="360" w:lineRule="auto"/>
              <w:jc w:val="center"/>
              <w:rPr>
                <w:rFonts w:ascii="宋体" w:hAnsi="宋体" w:cs="宋体"/>
              </w:rPr>
            </w:pPr>
          </w:p>
        </w:tc>
        <w:tc>
          <w:tcPr>
            <w:tcW w:w="2612" w:type="dxa"/>
            <w:vAlign w:val="center"/>
          </w:tcPr>
          <w:p w14:paraId="33BEA2EA">
            <w:pPr>
              <w:spacing w:line="360" w:lineRule="auto"/>
              <w:jc w:val="center"/>
              <w:rPr>
                <w:rFonts w:ascii="宋体" w:hAnsi="宋体" w:cs="宋体"/>
              </w:rPr>
            </w:pPr>
          </w:p>
        </w:tc>
      </w:tr>
      <w:tr w14:paraId="18ADAE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77242A35">
            <w:pPr>
              <w:spacing w:line="360" w:lineRule="auto"/>
              <w:jc w:val="center"/>
              <w:rPr>
                <w:rFonts w:ascii="宋体" w:hAnsi="宋体" w:cs="宋体"/>
              </w:rPr>
            </w:pPr>
          </w:p>
        </w:tc>
        <w:tc>
          <w:tcPr>
            <w:tcW w:w="1433" w:type="dxa"/>
            <w:vAlign w:val="center"/>
          </w:tcPr>
          <w:p w14:paraId="5F8B7B4E">
            <w:pPr>
              <w:spacing w:line="360" w:lineRule="auto"/>
              <w:jc w:val="center"/>
              <w:rPr>
                <w:rFonts w:ascii="宋体" w:hAnsi="宋体" w:cs="宋体"/>
              </w:rPr>
            </w:pPr>
          </w:p>
        </w:tc>
        <w:tc>
          <w:tcPr>
            <w:tcW w:w="835" w:type="dxa"/>
            <w:vAlign w:val="center"/>
          </w:tcPr>
          <w:p w14:paraId="371159CF">
            <w:pPr>
              <w:spacing w:line="360" w:lineRule="auto"/>
              <w:jc w:val="center"/>
              <w:rPr>
                <w:rFonts w:ascii="宋体" w:hAnsi="宋体" w:cs="宋体"/>
              </w:rPr>
            </w:pPr>
          </w:p>
        </w:tc>
        <w:tc>
          <w:tcPr>
            <w:tcW w:w="834" w:type="dxa"/>
            <w:vAlign w:val="center"/>
          </w:tcPr>
          <w:p w14:paraId="654F4879">
            <w:pPr>
              <w:spacing w:line="360" w:lineRule="auto"/>
              <w:jc w:val="center"/>
              <w:rPr>
                <w:rFonts w:ascii="宋体" w:hAnsi="宋体" w:cs="宋体"/>
              </w:rPr>
            </w:pPr>
          </w:p>
        </w:tc>
        <w:tc>
          <w:tcPr>
            <w:tcW w:w="834" w:type="dxa"/>
            <w:vAlign w:val="center"/>
          </w:tcPr>
          <w:p w14:paraId="4D4CB104">
            <w:pPr>
              <w:spacing w:line="360" w:lineRule="auto"/>
              <w:jc w:val="center"/>
              <w:rPr>
                <w:rFonts w:ascii="宋体" w:hAnsi="宋体" w:cs="宋体"/>
              </w:rPr>
            </w:pPr>
          </w:p>
        </w:tc>
        <w:tc>
          <w:tcPr>
            <w:tcW w:w="1260" w:type="dxa"/>
            <w:vAlign w:val="center"/>
          </w:tcPr>
          <w:p w14:paraId="663C22FF">
            <w:pPr>
              <w:spacing w:line="360" w:lineRule="auto"/>
              <w:jc w:val="center"/>
              <w:rPr>
                <w:rFonts w:ascii="宋体" w:hAnsi="宋体" w:cs="宋体"/>
              </w:rPr>
            </w:pPr>
          </w:p>
        </w:tc>
        <w:tc>
          <w:tcPr>
            <w:tcW w:w="1080" w:type="dxa"/>
            <w:vAlign w:val="center"/>
          </w:tcPr>
          <w:p w14:paraId="1C4CFC56">
            <w:pPr>
              <w:spacing w:line="360" w:lineRule="auto"/>
              <w:jc w:val="center"/>
              <w:rPr>
                <w:rFonts w:ascii="宋体" w:hAnsi="宋体" w:cs="宋体"/>
              </w:rPr>
            </w:pPr>
          </w:p>
        </w:tc>
        <w:tc>
          <w:tcPr>
            <w:tcW w:w="2612" w:type="dxa"/>
            <w:vAlign w:val="center"/>
          </w:tcPr>
          <w:p w14:paraId="4A992378">
            <w:pPr>
              <w:spacing w:line="360" w:lineRule="auto"/>
              <w:jc w:val="center"/>
              <w:rPr>
                <w:rFonts w:ascii="宋体" w:hAnsi="宋体" w:cs="宋体"/>
              </w:rPr>
            </w:pPr>
          </w:p>
        </w:tc>
      </w:tr>
      <w:tr w14:paraId="3BD526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20589A85">
            <w:pPr>
              <w:spacing w:line="360" w:lineRule="auto"/>
              <w:jc w:val="center"/>
              <w:rPr>
                <w:rFonts w:ascii="宋体" w:hAnsi="宋体" w:cs="宋体"/>
              </w:rPr>
            </w:pPr>
          </w:p>
        </w:tc>
        <w:tc>
          <w:tcPr>
            <w:tcW w:w="1433" w:type="dxa"/>
            <w:vAlign w:val="center"/>
          </w:tcPr>
          <w:p w14:paraId="497E4AD0">
            <w:pPr>
              <w:spacing w:line="360" w:lineRule="auto"/>
              <w:jc w:val="center"/>
              <w:rPr>
                <w:rFonts w:ascii="宋体" w:hAnsi="宋体" w:cs="宋体"/>
              </w:rPr>
            </w:pPr>
          </w:p>
        </w:tc>
        <w:tc>
          <w:tcPr>
            <w:tcW w:w="835" w:type="dxa"/>
            <w:vAlign w:val="center"/>
          </w:tcPr>
          <w:p w14:paraId="445E6CC7">
            <w:pPr>
              <w:spacing w:line="360" w:lineRule="auto"/>
              <w:jc w:val="center"/>
              <w:rPr>
                <w:rFonts w:ascii="宋体" w:hAnsi="宋体" w:cs="宋体"/>
              </w:rPr>
            </w:pPr>
          </w:p>
        </w:tc>
        <w:tc>
          <w:tcPr>
            <w:tcW w:w="834" w:type="dxa"/>
            <w:vAlign w:val="center"/>
          </w:tcPr>
          <w:p w14:paraId="44A84C6F">
            <w:pPr>
              <w:spacing w:line="360" w:lineRule="auto"/>
              <w:jc w:val="center"/>
              <w:rPr>
                <w:rFonts w:ascii="宋体" w:hAnsi="宋体" w:cs="宋体"/>
              </w:rPr>
            </w:pPr>
          </w:p>
        </w:tc>
        <w:tc>
          <w:tcPr>
            <w:tcW w:w="834" w:type="dxa"/>
            <w:vAlign w:val="center"/>
          </w:tcPr>
          <w:p w14:paraId="6548941A">
            <w:pPr>
              <w:spacing w:line="360" w:lineRule="auto"/>
              <w:jc w:val="center"/>
              <w:rPr>
                <w:rFonts w:ascii="宋体" w:hAnsi="宋体" w:cs="宋体"/>
              </w:rPr>
            </w:pPr>
          </w:p>
        </w:tc>
        <w:tc>
          <w:tcPr>
            <w:tcW w:w="1260" w:type="dxa"/>
            <w:vAlign w:val="center"/>
          </w:tcPr>
          <w:p w14:paraId="06528FC7">
            <w:pPr>
              <w:spacing w:line="360" w:lineRule="auto"/>
              <w:jc w:val="center"/>
              <w:rPr>
                <w:rFonts w:ascii="宋体" w:hAnsi="宋体" w:cs="宋体"/>
              </w:rPr>
            </w:pPr>
          </w:p>
        </w:tc>
        <w:tc>
          <w:tcPr>
            <w:tcW w:w="1080" w:type="dxa"/>
            <w:vAlign w:val="center"/>
          </w:tcPr>
          <w:p w14:paraId="2512B580">
            <w:pPr>
              <w:spacing w:line="360" w:lineRule="auto"/>
              <w:jc w:val="center"/>
              <w:rPr>
                <w:rFonts w:ascii="宋体" w:hAnsi="宋体" w:cs="宋体"/>
              </w:rPr>
            </w:pPr>
          </w:p>
        </w:tc>
        <w:tc>
          <w:tcPr>
            <w:tcW w:w="2612" w:type="dxa"/>
            <w:vAlign w:val="center"/>
          </w:tcPr>
          <w:p w14:paraId="3B7F8056">
            <w:pPr>
              <w:spacing w:line="360" w:lineRule="auto"/>
              <w:jc w:val="center"/>
              <w:rPr>
                <w:rFonts w:ascii="宋体" w:hAnsi="宋体" w:cs="宋体"/>
              </w:rPr>
            </w:pPr>
          </w:p>
        </w:tc>
      </w:tr>
      <w:tr w14:paraId="5FA2C1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2CFFA67C">
            <w:pPr>
              <w:spacing w:line="360" w:lineRule="auto"/>
              <w:jc w:val="center"/>
              <w:rPr>
                <w:rFonts w:ascii="宋体" w:hAnsi="宋体" w:cs="宋体"/>
              </w:rPr>
            </w:pPr>
          </w:p>
        </w:tc>
        <w:tc>
          <w:tcPr>
            <w:tcW w:w="1433" w:type="dxa"/>
            <w:vAlign w:val="center"/>
          </w:tcPr>
          <w:p w14:paraId="386467E0">
            <w:pPr>
              <w:spacing w:line="360" w:lineRule="auto"/>
              <w:jc w:val="center"/>
              <w:rPr>
                <w:rFonts w:ascii="宋体" w:hAnsi="宋体" w:cs="宋体"/>
              </w:rPr>
            </w:pPr>
          </w:p>
        </w:tc>
        <w:tc>
          <w:tcPr>
            <w:tcW w:w="835" w:type="dxa"/>
            <w:vAlign w:val="center"/>
          </w:tcPr>
          <w:p w14:paraId="29A9FC0A">
            <w:pPr>
              <w:spacing w:line="360" w:lineRule="auto"/>
              <w:jc w:val="center"/>
              <w:rPr>
                <w:rFonts w:ascii="宋体" w:hAnsi="宋体" w:cs="宋体"/>
              </w:rPr>
            </w:pPr>
          </w:p>
        </w:tc>
        <w:tc>
          <w:tcPr>
            <w:tcW w:w="834" w:type="dxa"/>
            <w:vAlign w:val="center"/>
          </w:tcPr>
          <w:p w14:paraId="38F68B02">
            <w:pPr>
              <w:spacing w:line="360" w:lineRule="auto"/>
              <w:jc w:val="center"/>
              <w:rPr>
                <w:rFonts w:ascii="宋体" w:hAnsi="宋体" w:cs="宋体"/>
              </w:rPr>
            </w:pPr>
          </w:p>
        </w:tc>
        <w:tc>
          <w:tcPr>
            <w:tcW w:w="834" w:type="dxa"/>
            <w:vAlign w:val="center"/>
          </w:tcPr>
          <w:p w14:paraId="54A43CCE">
            <w:pPr>
              <w:spacing w:line="360" w:lineRule="auto"/>
              <w:jc w:val="center"/>
              <w:rPr>
                <w:rFonts w:ascii="宋体" w:hAnsi="宋体" w:cs="宋体"/>
              </w:rPr>
            </w:pPr>
          </w:p>
        </w:tc>
        <w:tc>
          <w:tcPr>
            <w:tcW w:w="1260" w:type="dxa"/>
            <w:vAlign w:val="center"/>
          </w:tcPr>
          <w:p w14:paraId="01760973">
            <w:pPr>
              <w:spacing w:line="360" w:lineRule="auto"/>
              <w:jc w:val="center"/>
              <w:rPr>
                <w:rFonts w:ascii="宋体" w:hAnsi="宋体" w:cs="宋体"/>
              </w:rPr>
            </w:pPr>
          </w:p>
        </w:tc>
        <w:tc>
          <w:tcPr>
            <w:tcW w:w="1080" w:type="dxa"/>
            <w:vAlign w:val="center"/>
          </w:tcPr>
          <w:p w14:paraId="50152A1A">
            <w:pPr>
              <w:spacing w:line="360" w:lineRule="auto"/>
              <w:jc w:val="center"/>
              <w:rPr>
                <w:rFonts w:ascii="宋体" w:hAnsi="宋体" w:cs="宋体"/>
              </w:rPr>
            </w:pPr>
          </w:p>
        </w:tc>
        <w:tc>
          <w:tcPr>
            <w:tcW w:w="2612" w:type="dxa"/>
            <w:vAlign w:val="center"/>
          </w:tcPr>
          <w:p w14:paraId="2F9D9652">
            <w:pPr>
              <w:spacing w:line="360" w:lineRule="auto"/>
              <w:jc w:val="center"/>
              <w:rPr>
                <w:rFonts w:ascii="宋体" w:hAnsi="宋体" w:cs="宋体"/>
              </w:rPr>
            </w:pPr>
          </w:p>
        </w:tc>
      </w:tr>
    </w:tbl>
    <w:p w14:paraId="7D74641F">
      <w:pPr>
        <w:spacing w:line="360" w:lineRule="auto"/>
        <w:ind w:firstLine="105" w:firstLineChars="50"/>
        <w:rPr>
          <w:rFonts w:ascii="宋体" w:hAnsi="宋体" w:cs="宋体"/>
          <w:i/>
        </w:rPr>
      </w:pPr>
      <w:r>
        <w:rPr>
          <w:rFonts w:hint="eastAsia" w:ascii="宋体" w:hAnsi="宋体" w:cs="宋体"/>
        </w:rPr>
        <w:t>注：请按采购文件要求提供证明文件</w:t>
      </w:r>
    </w:p>
    <w:p w14:paraId="31143477">
      <w:pPr>
        <w:spacing w:line="360" w:lineRule="auto"/>
        <w:ind w:firstLine="105" w:firstLineChars="50"/>
        <w:rPr>
          <w:rFonts w:ascii="宋体" w:hAnsi="宋体" w:cs="宋体"/>
        </w:rPr>
      </w:pPr>
    </w:p>
    <w:p w14:paraId="15E74B1A">
      <w:pPr>
        <w:spacing w:line="360" w:lineRule="auto"/>
        <w:ind w:left="3990" w:leftChars="1900" w:firstLine="1890" w:firstLineChars="900"/>
        <w:rPr>
          <w:rFonts w:ascii="宋体" w:hAnsi="宋体"/>
          <w:u w:val="single"/>
        </w:rPr>
      </w:pPr>
      <w:r>
        <w:rPr>
          <w:rFonts w:hint="eastAsia" w:ascii="宋体" w:hAnsi="宋体"/>
        </w:rPr>
        <w:t>竞价供应商名称（盖公章）：</w:t>
      </w:r>
      <w:r>
        <w:rPr>
          <w:rFonts w:hint="eastAsia" w:ascii="宋体" w:hAnsi="宋体"/>
          <w:u w:val="single"/>
        </w:rPr>
        <w:t xml:space="preserve">                             </w:t>
      </w:r>
    </w:p>
    <w:p w14:paraId="0E53C2D9">
      <w:pPr>
        <w:spacing w:line="360" w:lineRule="auto"/>
        <w:ind w:left="3990" w:leftChars="1900" w:firstLine="1890" w:firstLineChars="90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14:paraId="1752B310">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FE70C21">
      <w:pPr>
        <w:spacing w:line="360" w:lineRule="auto"/>
        <w:ind w:firstLine="5880" w:firstLineChars="2800"/>
        <w:rPr>
          <w:rFonts w:ascii="宋体" w:hAnsi="宋体"/>
        </w:rPr>
      </w:pPr>
    </w:p>
    <w:p w14:paraId="6F9D13E5">
      <w:pPr>
        <w:pStyle w:val="7"/>
        <w:tabs>
          <w:tab w:val="left" w:pos="900"/>
          <w:tab w:val="left" w:pos="1080"/>
        </w:tabs>
        <w:spacing w:line="360" w:lineRule="auto"/>
        <w:ind w:left="180"/>
        <w:outlineLvl w:val="1"/>
        <w:rPr>
          <w:rFonts w:ascii="宋体" w:hAnsi="宋体"/>
          <w:b/>
          <w:bCs/>
        </w:rPr>
      </w:pPr>
      <w:r>
        <w:rPr>
          <w:rFonts w:ascii="宋体" w:hAnsi="宋体" w:cs="宋体"/>
          <w:szCs w:val="21"/>
        </w:rPr>
        <w:br w:type="page"/>
      </w:r>
      <w:r>
        <w:rPr>
          <w:rFonts w:hint="eastAsia" w:ascii="宋体" w:hAnsi="宋体" w:cs="宋体"/>
          <w:b/>
          <w:bCs/>
          <w:szCs w:val="21"/>
        </w:rPr>
        <w:t xml:space="preserve">格式6 </w:t>
      </w:r>
      <w:r>
        <w:rPr>
          <w:rFonts w:hint="eastAsia" w:ascii="宋体" w:hAnsi="宋体"/>
          <w:b/>
          <w:bCs/>
        </w:rPr>
        <w:t>采购代理服务费承诺书</w:t>
      </w:r>
    </w:p>
    <w:p w14:paraId="24D90530">
      <w:pPr>
        <w:spacing w:line="360" w:lineRule="auto"/>
        <w:rPr>
          <w:rFonts w:ascii="宋体" w:hAnsi="宋体"/>
          <w:b/>
          <w:bCs/>
          <w:szCs w:val="21"/>
        </w:rPr>
      </w:pPr>
    </w:p>
    <w:p w14:paraId="152A3984">
      <w:pPr>
        <w:pStyle w:val="7"/>
        <w:spacing w:line="360" w:lineRule="auto"/>
        <w:jc w:val="center"/>
        <w:rPr>
          <w:b/>
          <w:bCs/>
          <w:sz w:val="32"/>
          <w:szCs w:val="32"/>
        </w:rPr>
      </w:pPr>
      <w:bookmarkStart w:id="23" w:name="_Toc385940918"/>
      <w:r>
        <w:rPr>
          <w:rFonts w:hint="eastAsia"/>
          <w:b/>
          <w:bCs/>
          <w:sz w:val="32"/>
          <w:szCs w:val="32"/>
        </w:rPr>
        <w:t>采购</w:t>
      </w:r>
      <w:r>
        <w:rPr>
          <w:b/>
          <w:bCs/>
          <w:sz w:val="32"/>
          <w:szCs w:val="32"/>
        </w:rPr>
        <w:t>代理服务费承诺书</w:t>
      </w:r>
      <w:bookmarkEnd w:id="23"/>
    </w:p>
    <w:p w14:paraId="7D597489">
      <w:pPr>
        <w:spacing w:before="240" w:line="360" w:lineRule="auto"/>
        <w:ind w:firstLine="540"/>
        <w:jc w:val="right"/>
        <w:rPr>
          <w:rFonts w:ascii="宋体" w:hAnsi="宋体"/>
          <w:i/>
          <w:kern w:val="28"/>
          <w:u w:val="single"/>
        </w:rPr>
      </w:pPr>
    </w:p>
    <w:p w14:paraId="0DCBEA6E">
      <w:pPr>
        <w:spacing w:line="360" w:lineRule="auto"/>
        <w:rPr>
          <w:rFonts w:ascii="宋体" w:hAnsi="宋体"/>
          <w:b/>
        </w:rPr>
      </w:pPr>
      <w:r>
        <w:rPr>
          <w:rFonts w:hint="eastAsia" w:ascii="宋体" w:hAnsi="宋体"/>
          <w:b/>
        </w:rPr>
        <w:t>致：广州市国科招标代理有限公司</w:t>
      </w:r>
    </w:p>
    <w:p w14:paraId="41953867">
      <w:pPr>
        <w:spacing w:before="240" w:line="360" w:lineRule="auto"/>
        <w:ind w:firstLine="540"/>
        <w:rPr>
          <w:rFonts w:ascii="宋体" w:hAnsi="宋体"/>
        </w:rPr>
      </w:pPr>
      <w:r>
        <w:rPr>
          <w:rFonts w:hint="eastAsia" w:ascii="宋体" w:hAnsi="宋体"/>
        </w:rPr>
        <w:t>如果我公司在贵公司组织的：</w:t>
      </w:r>
      <w:r>
        <w:rPr>
          <w:rFonts w:hint="eastAsia"/>
          <w:szCs w:val="21"/>
          <w:lang w:eastAsia="zh-CN"/>
        </w:rPr>
        <w:t>广东省监狱中心医院2025年医用气体采购项目(重招)</w:t>
      </w:r>
      <w:r>
        <w:rPr>
          <w:rFonts w:hint="eastAsia"/>
          <w:szCs w:val="21"/>
        </w:rPr>
        <w:t>（项目编号：</w:t>
      </w:r>
      <w:r>
        <w:rPr>
          <w:rFonts w:hint="eastAsia"/>
          <w:szCs w:val="21"/>
          <w:lang w:eastAsia="zh-CN"/>
        </w:rPr>
        <w:t>GZGK25P038A0038J-1</w:t>
      </w:r>
      <w:r>
        <w:rPr>
          <w:rFonts w:hint="eastAsia"/>
          <w:szCs w:val="21"/>
        </w:rPr>
        <w:t>）</w:t>
      </w:r>
      <w:r>
        <w:rPr>
          <w:rFonts w:hint="eastAsia" w:ascii="宋体" w:hAnsi="宋体"/>
        </w:rPr>
        <w:t>的项目采购中获成交，我公司保证按照竞价文件规定缴纳的“采购代理服务费”后，凭领取人身份证原件及招标代理服务费缴费凭证并加盖公章领取《成交通知书》。</w:t>
      </w:r>
    </w:p>
    <w:p w14:paraId="5BF1CB0F">
      <w:pPr>
        <w:tabs>
          <w:tab w:val="left" w:pos="7740"/>
        </w:tabs>
        <w:spacing w:line="360" w:lineRule="auto"/>
        <w:ind w:firstLine="420" w:firstLineChars="200"/>
        <w:rPr>
          <w:rFonts w:ascii="宋体" w:hAnsi="宋体"/>
        </w:rPr>
      </w:pPr>
      <w:r>
        <w:rPr>
          <w:rFonts w:hint="eastAsia" w:ascii="宋体" w:hAnsi="宋体"/>
        </w:rPr>
        <w:t>我公司如违反上款承诺，愿凭贵公司开出的相关通知，按上述承诺金额的200％支付，并按</w:t>
      </w:r>
      <w:r>
        <w:rPr>
          <w:rFonts w:hint="eastAsia" w:ascii="宋体" w:hAnsi="宋体"/>
          <w:bCs/>
        </w:rPr>
        <w:t>广州市国科招标代理有限公司</w:t>
      </w:r>
      <w:r>
        <w:rPr>
          <w:rFonts w:hint="eastAsia" w:ascii="宋体" w:hAnsi="宋体"/>
        </w:rPr>
        <w:t>的要求办理支付手续，并愿承担全部由此引起的法律责任。</w:t>
      </w:r>
    </w:p>
    <w:p w14:paraId="4B460B2B">
      <w:pPr>
        <w:spacing w:line="360" w:lineRule="auto"/>
        <w:ind w:firstLine="540"/>
        <w:rPr>
          <w:rFonts w:ascii="宋体" w:hAnsi="宋体"/>
        </w:rPr>
      </w:pPr>
    </w:p>
    <w:p w14:paraId="1B6304BD">
      <w:pPr>
        <w:spacing w:line="360" w:lineRule="auto"/>
        <w:ind w:firstLine="540"/>
        <w:rPr>
          <w:rFonts w:ascii="宋体" w:hAnsi="宋体"/>
        </w:rPr>
      </w:pPr>
      <w:r>
        <w:rPr>
          <w:rFonts w:hint="eastAsia" w:ascii="宋体" w:hAnsi="宋体"/>
        </w:rPr>
        <w:t>特此承诺！</w:t>
      </w:r>
    </w:p>
    <w:p w14:paraId="11BF5711">
      <w:pPr>
        <w:spacing w:line="360" w:lineRule="auto"/>
        <w:ind w:firstLine="540"/>
        <w:rPr>
          <w:rFonts w:ascii="宋体" w:hAnsi="宋体"/>
        </w:rPr>
      </w:pPr>
    </w:p>
    <w:p w14:paraId="127A9C38">
      <w:pPr>
        <w:spacing w:line="360" w:lineRule="auto"/>
        <w:ind w:firstLine="540"/>
        <w:rPr>
          <w:rFonts w:ascii="宋体" w:hAnsi="宋体"/>
        </w:rPr>
      </w:pPr>
    </w:p>
    <w:p w14:paraId="3A23738C">
      <w:pPr>
        <w:spacing w:line="360" w:lineRule="auto"/>
        <w:ind w:left="3570" w:leftChars="50" w:hanging="3465" w:hangingChars="1650"/>
        <w:rPr>
          <w:rFonts w:ascii="宋体" w:hAnsi="宋体"/>
          <w:u w:val="single"/>
        </w:rPr>
      </w:pPr>
      <w:r>
        <w:rPr>
          <w:rFonts w:hint="eastAsia" w:ascii="宋体" w:hAnsi="宋体"/>
        </w:rPr>
        <w:t xml:space="preserve">                                竞价供应商名称（盖公章）：</w:t>
      </w:r>
      <w:r>
        <w:rPr>
          <w:rFonts w:hint="eastAsia" w:ascii="宋体" w:hAnsi="宋体"/>
          <w:u w:val="single"/>
        </w:rPr>
        <w:t xml:space="preserve">                             </w:t>
      </w:r>
    </w:p>
    <w:p w14:paraId="2E00E7FF">
      <w:pPr>
        <w:spacing w:line="360" w:lineRule="auto"/>
        <w:ind w:left="3570" w:leftChars="1650" w:hanging="105" w:hangingChars="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14:paraId="55BB1F1F">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07C2385">
      <w:pPr>
        <w:spacing w:before="156" w:beforeLines="50" w:line="360" w:lineRule="auto"/>
        <w:rPr>
          <w:rFonts w:ascii="宋体" w:hAnsi="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ACB2">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BE98B">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33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27BE98B">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33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txbxContent>
              </v:textbox>
            </v:shape>
          </w:pict>
        </mc:Fallback>
      </mc:AlternateContent>
    </w:r>
  </w:p>
  <w:p w14:paraId="78A23D9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3BE6">
    <w:pPr>
      <w:pStyle w:val="15"/>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GZGK25P038A0038J-1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DB464"/>
    <w:multiLevelType w:val="multilevel"/>
    <w:tmpl w:val="D97DB46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E4108E31"/>
    <w:multiLevelType w:val="singleLevel"/>
    <w:tmpl w:val="E4108E31"/>
    <w:lvl w:ilvl="0" w:tentative="0">
      <w:start w:val="1"/>
      <w:numFmt w:val="decimal"/>
      <w:suff w:val="nothing"/>
      <w:lvlText w:val="%1、"/>
      <w:lvlJc w:val="left"/>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4">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5E529B"/>
    <w:multiLevelType w:val="multilevel"/>
    <w:tmpl w:val="765E529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6"/>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Y2Q4YTU2ZGE5NDcyNTc2MmEzMWU0NGY0MzQxODcifQ=="/>
  </w:docVars>
  <w:rsids>
    <w:rsidRoot w:val="00172A27"/>
    <w:rsid w:val="0000150F"/>
    <w:rsid w:val="0000282F"/>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83A65"/>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752C"/>
    <w:rsid w:val="005B7B7E"/>
    <w:rsid w:val="005C62D7"/>
    <w:rsid w:val="005D297B"/>
    <w:rsid w:val="005D78A4"/>
    <w:rsid w:val="005E5764"/>
    <w:rsid w:val="005F64CA"/>
    <w:rsid w:val="005F73F8"/>
    <w:rsid w:val="0060178A"/>
    <w:rsid w:val="00603954"/>
    <w:rsid w:val="006047C4"/>
    <w:rsid w:val="00612311"/>
    <w:rsid w:val="00614384"/>
    <w:rsid w:val="0062089C"/>
    <w:rsid w:val="00624091"/>
    <w:rsid w:val="00624DA8"/>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22D82"/>
    <w:rsid w:val="0072487E"/>
    <w:rsid w:val="007309BF"/>
    <w:rsid w:val="00733AC6"/>
    <w:rsid w:val="00734557"/>
    <w:rsid w:val="00735768"/>
    <w:rsid w:val="00735C02"/>
    <w:rsid w:val="0074626E"/>
    <w:rsid w:val="00753788"/>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63AEC"/>
    <w:rsid w:val="00967B95"/>
    <w:rsid w:val="009942DE"/>
    <w:rsid w:val="009B3460"/>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1B16"/>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65E56"/>
    <w:rsid w:val="00B7024B"/>
    <w:rsid w:val="00B91494"/>
    <w:rsid w:val="00B92EAC"/>
    <w:rsid w:val="00B93EEC"/>
    <w:rsid w:val="00BA0AE1"/>
    <w:rsid w:val="00BA2672"/>
    <w:rsid w:val="00BB4695"/>
    <w:rsid w:val="00BD5ECB"/>
    <w:rsid w:val="00BD6999"/>
    <w:rsid w:val="00BF276F"/>
    <w:rsid w:val="00BF2930"/>
    <w:rsid w:val="00C01678"/>
    <w:rsid w:val="00C325CB"/>
    <w:rsid w:val="00C41FB6"/>
    <w:rsid w:val="00C437DA"/>
    <w:rsid w:val="00C43E56"/>
    <w:rsid w:val="00C476AF"/>
    <w:rsid w:val="00C55C7C"/>
    <w:rsid w:val="00C66E80"/>
    <w:rsid w:val="00C7508A"/>
    <w:rsid w:val="00CF1D69"/>
    <w:rsid w:val="00CF42FB"/>
    <w:rsid w:val="00D16BE1"/>
    <w:rsid w:val="00D23DFD"/>
    <w:rsid w:val="00D31146"/>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04DE"/>
    <w:rsid w:val="00FD13F2"/>
    <w:rsid w:val="00FD2D76"/>
    <w:rsid w:val="00FE3CAC"/>
    <w:rsid w:val="00FE4047"/>
    <w:rsid w:val="00FF4650"/>
    <w:rsid w:val="00FF5BC0"/>
    <w:rsid w:val="034E087E"/>
    <w:rsid w:val="05173B9D"/>
    <w:rsid w:val="0556642A"/>
    <w:rsid w:val="0BE33A7C"/>
    <w:rsid w:val="103A2816"/>
    <w:rsid w:val="10A235DA"/>
    <w:rsid w:val="16283F6E"/>
    <w:rsid w:val="1B051DE9"/>
    <w:rsid w:val="1B7D746D"/>
    <w:rsid w:val="229B6EB9"/>
    <w:rsid w:val="243A4DDE"/>
    <w:rsid w:val="24FC514F"/>
    <w:rsid w:val="26DF6988"/>
    <w:rsid w:val="28D24AB2"/>
    <w:rsid w:val="294A038A"/>
    <w:rsid w:val="2997617C"/>
    <w:rsid w:val="2BDD4016"/>
    <w:rsid w:val="2C8660B4"/>
    <w:rsid w:val="2ED247AA"/>
    <w:rsid w:val="33C70135"/>
    <w:rsid w:val="34B2293E"/>
    <w:rsid w:val="35B75AE6"/>
    <w:rsid w:val="38D40FD2"/>
    <w:rsid w:val="3B536DC3"/>
    <w:rsid w:val="3E0F1049"/>
    <w:rsid w:val="3F9E5AC2"/>
    <w:rsid w:val="40014039"/>
    <w:rsid w:val="43502C68"/>
    <w:rsid w:val="436B4A69"/>
    <w:rsid w:val="43855444"/>
    <w:rsid w:val="469F4452"/>
    <w:rsid w:val="4ABB7E76"/>
    <w:rsid w:val="4BC86C74"/>
    <w:rsid w:val="4C662C4F"/>
    <w:rsid w:val="4EED5BEF"/>
    <w:rsid w:val="548F0226"/>
    <w:rsid w:val="56CC789B"/>
    <w:rsid w:val="56E3437D"/>
    <w:rsid w:val="5B3A26EB"/>
    <w:rsid w:val="5D8D0C19"/>
    <w:rsid w:val="605B715C"/>
    <w:rsid w:val="60E82F60"/>
    <w:rsid w:val="61A56185"/>
    <w:rsid w:val="6561719A"/>
    <w:rsid w:val="678018FF"/>
    <w:rsid w:val="684C5E5B"/>
    <w:rsid w:val="6A9040D6"/>
    <w:rsid w:val="702726D6"/>
    <w:rsid w:val="75057C8A"/>
    <w:rsid w:val="75E50A28"/>
    <w:rsid w:val="77197CB5"/>
    <w:rsid w:val="7798281C"/>
    <w:rsid w:val="79292720"/>
    <w:rsid w:val="79E45B8E"/>
    <w:rsid w:val="7A1268B5"/>
    <w:rsid w:val="7C5955EB"/>
    <w:rsid w:val="7D3A5E62"/>
    <w:rsid w:val="7DB42E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pPr>
    <w:rPr>
      <w:rFonts w:ascii="Calibri" w:hAnsi="Calibri"/>
    </w:rPr>
  </w:style>
  <w:style w:type="paragraph" w:styleId="6">
    <w:name w:val="annotation text"/>
    <w:basedOn w:val="1"/>
    <w:link w:val="44"/>
    <w:qFormat/>
    <w:uiPriority w:val="99"/>
    <w:pPr>
      <w:jc w:val="left"/>
    </w:pPr>
    <w:rPr>
      <w:kern w:val="0"/>
      <w:sz w:val="20"/>
    </w:rPr>
  </w:style>
  <w:style w:type="paragraph" w:styleId="7">
    <w:name w:val="Body Text"/>
    <w:basedOn w:val="1"/>
    <w:next w:val="8"/>
    <w:autoRedefine/>
    <w:qFormat/>
    <w:uiPriority w:val="0"/>
    <w:rPr>
      <w:sz w:val="24"/>
    </w:rPr>
  </w:style>
  <w:style w:type="paragraph" w:styleId="8">
    <w:name w:val="toc 5"/>
    <w:basedOn w:val="1"/>
    <w:next w:val="1"/>
    <w:semiHidden/>
    <w:unhideWhenUsed/>
    <w:qFormat/>
    <w:uiPriority w:val="39"/>
    <w:pPr>
      <w:ind w:left="1680" w:leftChars="800"/>
    </w:pPr>
  </w:style>
  <w:style w:type="paragraph" w:styleId="9">
    <w:name w:val="Body Text Indent"/>
    <w:basedOn w:val="1"/>
    <w:qFormat/>
    <w:uiPriority w:val="0"/>
    <w:pPr>
      <w:ind w:firstLine="570"/>
    </w:pPr>
    <w:rPr>
      <w:rFonts w:ascii="宋体"/>
      <w:sz w:val="28"/>
      <w:szCs w:val="20"/>
    </w:rPr>
  </w:style>
  <w:style w:type="paragraph" w:styleId="10">
    <w:name w:val="toc 3"/>
    <w:basedOn w:val="1"/>
    <w:next w:val="1"/>
    <w:semiHidden/>
    <w:unhideWhenUsed/>
    <w:qFormat/>
    <w:uiPriority w:val="39"/>
    <w:pPr>
      <w:ind w:left="840" w:leftChars="400"/>
    </w:p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ind w:left="100" w:leftChars="2500"/>
    </w:pPr>
    <w:rPr>
      <w:rFonts w:ascii="宋体" w:hAnsi="宋体"/>
      <w:b/>
      <w:bCs/>
      <w:color w:val="000000"/>
      <w:sz w:val="36"/>
    </w:rPr>
  </w:style>
  <w:style w:type="paragraph" w:styleId="13">
    <w:name w:val="Balloon Text"/>
    <w:basedOn w:val="1"/>
    <w:link w:val="45"/>
    <w:qFormat/>
    <w:uiPriority w:val="0"/>
    <w:rPr>
      <w:kern w:val="0"/>
      <w:sz w:val="18"/>
      <w:szCs w:val="18"/>
    </w:rPr>
  </w:style>
  <w:style w:type="paragraph" w:styleId="14">
    <w:name w:val="footer"/>
    <w:basedOn w:val="1"/>
    <w:link w:val="27"/>
    <w:qFormat/>
    <w:uiPriority w:val="99"/>
    <w:pPr>
      <w:tabs>
        <w:tab w:val="center" w:pos="4153"/>
        <w:tab w:val="right" w:pos="8306"/>
      </w:tabs>
      <w:snapToGrid w:val="0"/>
      <w:jc w:val="left"/>
    </w:pPr>
    <w:rPr>
      <w:kern w:val="0"/>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semiHidden/>
    <w:unhideWhenUsed/>
    <w:qFormat/>
    <w:uiPriority w:val="39"/>
  </w:style>
  <w:style w:type="paragraph" w:styleId="17">
    <w:name w:val="toc 2"/>
    <w:basedOn w:val="1"/>
    <w:next w:val="1"/>
    <w:autoRedefine/>
    <w:semiHidden/>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33"/>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0">
    <w:name w:val="annotation subject"/>
    <w:basedOn w:val="6"/>
    <w:next w:val="6"/>
    <w:link w:val="35"/>
    <w:unhideWhenUsed/>
    <w:qFormat/>
    <w:uiPriority w:val="99"/>
    <w:rPr>
      <w:b/>
      <w:bCs/>
      <w:kern w:val="2"/>
      <w:sz w:val="21"/>
    </w:rPr>
  </w:style>
  <w:style w:type="paragraph" w:styleId="21">
    <w:name w:val="Body Text First Indent 2"/>
    <w:basedOn w:val="9"/>
    <w:qFormat/>
    <w:uiPriority w:val="0"/>
    <w:pPr>
      <w:ind w:firstLine="200" w:firstLineChars="200"/>
    </w:pPr>
  </w:style>
  <w:style w:type="table" w:styleId="23">
    <w:name w:val="Table Grid"/>
    <w:basedOn w:val="2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annotation reference"/>
    <w:qFormat/>
    <w:uiPriority w:val="0"/>
    <w:rPr>
      <w:sz w:val="21"/>
      <w:szCs w:val="21"/>
    </w:rPr>
  </w:style>
  <w:style w:type="character" w:customStyle="1" w:styleId="27">
    <w:name w:val="页脚 Char"/>
    <w:link w:val="14"/>
    <w:qFormat/>
    <w:uiPriority w:val="99"/>
    <w:rPr>
      <w:rFonts w:ascii="Times New Roman" w:hAnsi="Times New Roman" w:eastAsia="宋体" w:cs="Times New Roman"/>
      <w:sz w:val="18"/>
      <w:szCs w:val="18"/>
    </w:rPr>
  </w:style>
  <w:style w:type="character" w:customStyle="1" w:styleId="28">
    <w:name w:val="页眉 Char"/>
    <w:link w:val="15"/>
    <w:qFormat/>
    <w:uiPriority w:val="0"/>
    <w:rPr>
      <w:rFonts w:ascii="Times New Roman" w:hAnsi="Times New Roman" w:eastAsia="宋体" w:cs="Times New Roman"/>
      <w:sz w:val="18"/>
      <w:szCs w:val="18"/>
    </w:rPr>
  </w:style>
  <w:style w:type="character" w:customStyle="1" w:styleId="29">
    <w:name w:val="标题 2 字符1"/>
    <w:qFormat/>
    <w:uiPriority w:val="9"/>
    <w:rPr>
      <w:rFonts w:ascii="Arial" w:hAnsi="Arial" w:eastAsia="黑体"/>
      <w:b/>
      <w:bCs/>
      <w:kern w:val="2"/>
      <w:sz w:val="32"/>
      <w:szCs w:val="32"/>
    </w:rPr>
  </w:style>
  <w:style w:type="character" w:customStyle="1" w:styleId="30">
    <w:name w:val="列出段落 Char"/>
    <w:link w:val="31"/>
    <w:autoRedefine/>
    <w:qFormat/>
    <w:uiPriority w:val="34"/>
    <w:rPr>
      <w:rFonts w:ascii="Calibri" w:hAnsi="Calibri"/>
      <w:kern w:val="2"/>
      <w:sz w:val="21"/>
      <w:szCs w:val="22"/>
    </w:rPr>
  </w:style>
  <w:style w:type="paragraph" w:styleId="31">
    <w:name w:val="List Paragraph"/>
    <w:basedOn w:val="1"/>
    <w:link w:val="30"/>
    <w:qFormat/>
    <w:uiPriority w:val="34"/>
    <w:pPr>
      <w:ind w:firstLine="420" w:firstLineChars="200"/>
    </w:pPr>
    <w:rPr>
      <w:rFonts w:ascii="Calibri" w:hAnsi="Calibri"/>
      <w:szCs w:val="22"/>
    </w:rPr>
  </w:style>
  <w:style w:type="character" w:customStyle="1" w:styleId="32">
    <w:name w:val="annotation reference1"/>
    <w:qFormat/>
    <w:uiPriority w:val="0"/>
    <w:rPr>
      <w:sz w:val="21"/>
      <w:szCs w:val="21"/>
    </w:rPr>
  </w:style>
  <w:style w:type="character" w:customStyle="1" w:styleId="33">
    <w:name w:val="标题 Char"/>
    <w:link w:val="19"/>
    <w:autoRedefine/>
    <w:qFormat/>
    <w:uiPriority w:val="0"/>
    <w:rPr>
      <w:rFonts w:ascii="Cambria" w:hAnsi="Cambria"/>
      <w:b/>
      <w:bCs/>
      <w:sz w:val="32"/>
      <w:szCs w:val="32"/>
    </w:rPr>
  </w:style>
  <w:style w:type="character" w:customStyle="1" w:styleId="34">
    <w:name w:val="批注文字 字符"/>
    <w:autoRedefine/>
    <w:qFormat/>
    <w:uiPriority w:val="99"/>
  </w:style>
  <w:style w:type="character" w:customStyle="1" w:styleId="35">
    <w:name w:val="批注主题 Char"/>
    <w:link w:val="20"/>
    <w:semiHidden/>
    <w:qFormat/>
    <w:uiPriority w:val="99"/>
    <w:rPr>
      <w:b/>
      <w:bCs/>
      <w:kern w:val="2"/>
      <w:sz w:val="21"/>
      <w:szCs w:val="24"/>
    </w:rPr>
  </w:style>
  <w:style w:type="character" w:customStyle="1" w:styleId="36">
    <w:name w:val="纯文本 Char1"/>
    <w:qFormat/>
    <w:uiPriority w:val="0"/>
    <w:rPr>
      <w:rFonts w:ascii="宋体" w:hAnsi="Courier New" w:eastAsia="宋体" w:cs="Courier New"/>
      <w:szCs w:val="21"/>
    </w:rPr>
  </w:style>
  <w:style w:type="character" w:customStyle="1" w:styleId="37">
    <w:name w:val="纯文本 字符1"/>
    <w:semiHidden/>
    <w:qFormat/>
    <w:uiPriority w:val="99"/>
    <w:rPr>
      <w:rFonts w:ascii="宋体" w:hAnsi="Courier New" w:cs="Courier New"/>
      <w:kern w:val="2"/>
      <w:sz w:val="21"/>
      <w:szCs w:val="21"/>
    </w:rPr>
  </w:style>
  <w:style w:type="character" w:customStyle="1" w:styleId="38">
    <w:name w:val="纯文本 Char"/>
    <w:link w:val="39"/>
    <w:autoRedefine/>
    <w:qFormat/>
    <w:uiPriority w:val="0"/>
    <w:rPr>
      <w:rFonts w:ascii="宋体" w:hAnsi="Courier New" w:eastAsia="宋体" w:cs="Courier New"/>
      <w:szCs w:val="21"/>
    </w:rPr>
  </w:style>
  <w:style w:type="paragraph" w:customStyle="1" w:styleId="39">
    <w:name w:val="Plain Text1"/>
    <w:basedOn w:val="1"/>
    <w:link w:val="38"/>
    <w:qFormat/>
    <w:uiPriority w:val="0"/>
    <w:rPr>
      <w:rFonts w:ascii="宋体" w:hAnsi="Courier New"/>
      <w:kern w:val="0"/>
      <w:sz w:val="20"/>
      <w:szCs w:val="21"/>
    </w:rPr>
  </w:style>
  <w:style w:type="character" w:customStyle="1" w:styleId="40">
    <w:name w:val="标题 2 Char"/>
    <w:link w:val="3"/>
    <w:qFormat/>
    <w:uiPriority w:val="9"/>
    <w:rPr>
      <w:rFonts w:ascii="Arial" w:hAnsi="Arial" w:eastAsia="黑体"/>
      <w:b/>
      <w:bCs/>
      <w:kern w:val="2"/>
      <w:sz w:val="32"/>
      <w:szCs w:val="32"/>
    </w:rPr>
  </w:style>
  <w:style w:type="character" w:customStyle="1" w:styleId="41">
    <w:name w:val="font41"/>
    <w:qFormat/>
    <w:uiPriority w:val="0"/>
    <w:rPr>
      <w:rFonts w:hint="eastAsia" w:ascii="宋体" w:hAnsi="宋体" w:eastAsia="宋体" w:cs="宋体"/>
      <w:color w:val="000000"/>
      <w:sz w:val="18"/>
      <w:szCs w:val="18"/>
      <w:u w:val="none"/>
    </w:rPr>
  </w:style>
  <w:style w:type="character" w:customStyle="1" w:styleId="42">
    <w:name w:val="纯文本 Char2"/>
    <w:qFormat/>
    <w:uiPriority w:val="0"/>
    <w:rPr>
      <w:rFonts w:ascii="宋体" w:hAnsi="Courier New" w:cs="Courier New"/>
      <w:szCs w:val="21"/>
    </w:rPr>
  </w:style>
  <w:style w:type="character" w:customStyle="1" w:styleId="43">
    <w:name w:val="批注文字 字符1"/>
    <w:autoRedefine/>
    <w:qFormat/>
    <w:uiPriority w:val="0"/>
    <w:rPr>
      <w:szCs w:val="24"/>
    </w:rPr>
  </w:style>
  <w:style w:type="character" w:customStyle="1" w:styleId="44">
    <w:name w:val="批注文字 Char"/>
    <w:link w:val="6"/>
    <w:autoRedefine/>
    <w:qFormat/>
    <w:uiPriority w:val="99"/>
    <w:rPr>
      <w:szCs w:val="24"/>
    </w:rPr>
  </w:style>
  <w:style w:type="character" w:customStyle="1" w:styleId="45">
    <w:name w:val="批注框文本 Char"/>
    <w:link w:val="13"/>
    <w:autoRedefine/>
    <w:qFormat/>
    <w:uiPriority w:val="0"/>
    <w:rPr>
      <w:rFonts w:ascii="Times New Roman" w:hAnsi="Times New Roman" w:eastAsia="宋体" w:cs="Times New Roman"/>
      <w:sz w:val="18"/>
      <w:szCs w:val="18"/>
    </w:rPr>
  </w:style>
  <w:style w:type="character" w:customStyle="1" w:styleId="46">
    <w:name w:val="标题 2 字符"/>
    <w:qFormat/>
    <w:uiPriority w:val="0"/>
    <w:rPr>
      <w:rFonts w:ascii="等线 Light" w:hAnsi="等线 Light" w:eastAsia="等线 Light" w:cs="Times New Roman"/>
      <w:b/>
      <w:bCs/>
      <w:kern w:val="2"/>
      <w:sz w:val="32"/>
      <w:szCs w:val="32"/>
    </w:rPr>
  </w:style>
  <w:style w:type="character" w:customStyle="1" w:styleId="47">
    <w:name w:val="font21"/>
    <w:qFormat/>
    <w:uiPriority w:val="0"/>
    <w:rPr>
      <w:rFonts w:hint="default" w:ascii="Times New Roman" w:hAnsi="Times New Roman" w:cs="Times New Roman"/>
      <w:color w:val="000000"/>
      <w:sz w:val="18"/>
      <w:szCs w:val="18"/>
      <w:u w:val="none"/>
    </w:rPr>
  </w:style>
  <w:style w:type="paragraph" w:customStyle="1" w:styleId="48">
    <w:name w:val="_Style 2"/>
    <w:basedOn w:val="1"/>
    <w:qFormat/>
    <w:uiPriority w:val="34"/>
    <w:pPr>
      <w:ind w:firstLine="420" w:firstLineChars="200"/>
    </w:pPr>
    <w:rPr>
      <w:rFonts w:ascii="Calibri" w:hAnsi="Calibri"/>
      <w:szCs w:val="22"/>
    </w:rPr>
  </w:style>
  <w:style w:type="paragraph" w:styleId="4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
    <w:name w:val="_Style 1"/>
    <w:basedOn w:val="1"/>
    <w:qFormat/>
    <w:uiPriority w:val="34"/>
    <w:pPr>
      <w:ind w:firstLine="420" w:firstLineChars="200"/>
    </w:pPr>
    <w:rPr>
      <w:rFonts w:ascii="Calibri" w:hAnsi="Calibri"/>
      <w:szCs w:val="22"/>
    </w:rPr>
  </w:style>
  <w:style w:type="paragraph" w:customStyle="1" w:styleId="51">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2">
    <w:name w:val="正文_0"/>
    <w:qFormat/>
    <w:uiPriority w:val="0"/>
    <w:pPr>
      <w:widowControl w:val="0"/>
      <w:jc w:val="both"/>
    </w:pPr>
    <w:rPr>
      <w:rFonts w:ascii="Times New Roman" w:hAnsi="Times New Roman" w:eastAsia="宋体" w:cs="Times New Roman"/>
      <w:lang w:val="en-US" w:eastAsia="zh-CN" w:bidi="ar-SA"/>
    </w:rPr>
  </w:style>
  <w:style w:type="paragraph" w:customStyle="1" w:styleId="53">
    <w:name w:val="List Paragraph1"/>
    <w:basedOn w:val="1"/>
    <w:qFormat/>
    <w:uiPriority w:val="34"/>
    <w:pPr>
      <w:ind w:firstLine="420" w:firstLineChars="200"/>
    </w:pPr>
  </w:style>
  <w:style w:type="paragraph" w:customStyle="1" w:styleId="5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_Style 30"/>
    <w:basedOn w:val="1"/>
    <w:next w:val="31"/>
    <w:qFormat/>
    <w:uiPriority w:val="34"/>
    <w:pPr>
      <w:ind w:firstLine="420" w:firstLineChars="200"/>
    </w:pPr>
  </w:style>
  <w:style w:type="paragraph" w:customStyle="1" w:styleId="57">
    <w:name w:val="_Style 26"/>
    <w:basedOn w:val="1"/>
    <w:next w:val="31"/>
    <w:qFormat/>
    <w:uiPriority w:val="34"/>
    <w:pPr>
      <w:adjustRightInd w:val="0"/>
      <w:spacing w:line="360" w:lineRule="atLeast"/>
      <w:ind w:firstLine="420" w:firstLineChars="200"/>
      <w:textAlignment w:val="baseline"/>
    </w:pPr>
    <w:rPr>
      <w:rFonts w:ascii="Calibri" w:hAnsi="Calibri"/>
      <w:szCs w:val="22"/>
    </w:rPr>
  </w:style>
  <w:style w:type="character" w:customStyle="1" w:styleId="58">
    <w:name w:val="font01"/>
    <w:qFormat/>
    <w:uiPriority w:val="0"/>
    <w:rPr>
      <w:rFonts w:hint="eastAsia" w:ascii="宋体" w:hAnsi="宋体" w:eastAsia="宋体" w:cs="宋体"/>
      <w:color w:val="000000"/>
      <w:sz w:val="24"/>
      <w:szCs w:val="24"/>
      <w:u w:val="none"/>
    </w:rPr>
  </w:style>
  <w:style w:type="character" w:customStyle="1" w:styleId="59">
    <w:name w:val="font11"/>
    <w:basedOn w:val="24"/>
    <w:qFormat/>
    <w:uiPriority w:val="0"/>
    <w:rPr>
      <w:rFonts w:hint="default" w:ascii="Arial" w:hAnsi="Arial" w:cs="Arial"/>
      <w:color w:val="000000"/>
      <w:sz w:val="24"/>
      <w:szCs w:val="24"/>
      <w:u w:val="none"/>
    </w:rPr>
  </w:style>
  <w:style w:type="paragraph" w:customStyle="1" w:styleId="60">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1">
    <w:name w:val="标题 4 Char"/>
    <w:basedOn w:val="24"/>
    <w:link w:val="4"/>
    <w:qFormat/>
    <w:uiPriority w:val="0"/>
    <w:rPr>
      <w:rFonts w:ascii="Arial" w:hAnsi="Arial" w:eastAsia="黑体"/>
      <w:b/>
      <w:bCs/>
      <w:kern w:val="2"/>
      <w:sz w:val="28"/>
      <w:szCs w:val="28"/>
    </w:rPr>
  </w:style>
  <w:style w:type="paragraph" w:customStyle="1" w:styleId="62">
    <w:name w:val="正文缩进1"/>
    <w:basedOn w:val="1"/>
    <w:qFormat/>
    <w:uiPriority w:val="0"/>
    <w:pPr>
      <w:ind w:firstLine="420"/>
    </w:pPr>
    <w:rPr>
      <w:rFonts w:ascii="Calibri" w:hAnsi="Calibri"/>
    </w:rPr>
  </w:style>
  <w:style w:type="paragraph" w:customStyle="1" w:styleId="63">
    <w:name w:val="xl29"/>
    <w:basedOn w:val="1"/>
    <w:qFormat/>
    <w:uiPriority w:val="0"/>
    <w:pPr>
      <w:widowControl/>
      <w:spacing w:before="100" w:beforeAutospacing="1" w:after="100" w:afterAutospacing="1"/>
      <w:jc w:val="center"/>
    </w:pPr>
    <w:rPr>
      <w:rFonts w:ascii="宋体" w:hAnsi="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1942</Words>
  <Characters>2188</Characters>
  <Lines>141</Lines>
  <Paragraphs>39</Paragraphs>
  <TotalTime>2</TotalTime>
  <ScaleCrop>false</ScaleCrop>
  <LinksUpToDate>false</LinksUpToDate>
  <CharactersWithSpaces>2205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2020-11-01T00:38:00Z</dcterms:created>
  <dc:creator>NTKO</dc:creator>
  <cp:lastModifiedBy>长夜小星星</cp:lastModifiedBy>
  <dcterms:modified xsi:type="dcterms:W3CDTF">2025-02-12T01:30:57Z</dcterms:modified>
  <dc:title>s001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B3A1795076624491B95E1348147DC4D2_13</vt:lpwstr>
  </property>
  <property fmtid="{D5CDD505-2E9C-101B-9397-08002B2CF9AE}" pid="4" name="KSOTemplateDocerSaveRecord">
    <vt:lpwstr>eyJoZGlkIjoiNTc4Nzc4NmJiZmJmZGYyMzUwOWQ0NjYyZmJjMzIxNDUiLCJ1c2VySWQiOiI1NDY0Nzk1NDcifQ==</vt:lpwstr>
  </property>
</Properties>
</file>